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Play-bold.ttf" ContentType="application/x-font-ttf"/>
  <Override PartName="/word/fonts/Play-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after="240"/>
        <w:jc w:val="center"/>
      </w:pPr>
      <w:r>
        <w:drawing>
          <wp:inline>
            <wp:extent cx="4251960" cy="1216078"/>
            <wp:docPr id="1" name="Picture 1"/>
            <wp:cNvGraphicFramePr>
              <a:graphicFrameLocks noChangeAspect="1"/>
            </wp:cNvGraphicFramePr>
            <a:graphic>
              <a:graphicData uri="http://schemas.openxmlformats.org/drawingml/2006/picture">
                <pic:pic>
                  <pic:nvPicPr>
                    <pic:cNvPr id="0" name="image.png"/>
                    <pic:cNvPicPr/>
                  </pic:nvPicPr>
                  <pic:blipFill>
                    <a:blip r:embed="rId7"/>
                    <a:stretch>
                      <a:fillRect/>
                    </a:stretch>
                  </pic:blipFill>
                  <pic:spPr>
                    <a:xfrm>
                      <a:off x="0" y="0"/>
                      <a:ext cx="4251960" cy="1216078"/>
                    </a:xfrm>
                    <a:prstGeom prst="rect"/>
                  </pic:spPr>
                </pic:pic>
              </a:graphicData>
            </a:graphic>
          </wp:inline>
        </w:drawing>
      </w:r>
    </w:p>
    <w:p>
      <w:pPr>
        <w:spacing w:before="120" w:after="240"/>
        <w:jc w:val="center"/>
      </w:pPr>
      <w:r>
        <w:rPr>
          <w:rFonts w:ascii="Aptos" w:hAnsi="Aptos"/>
          <w:b/>
          <w:color w:val="17365D"/>
          <w:sz w:val="50"/>
        </w:rPr>
        <w:t>UNTANGLING IEPs</w:t>
      </w:r>
    </w:p>
    <w:p>
      <w:pPr>
        <w:spacing w:after="320"/>
        <w:jc w:val="center"/>
      </w:pPr>
      <w:r>
        <w:rPr>
          <w:rFonts w:ascii="Aptos" w:hAnsi="Aptos"/>
          <w:b/>
          <w:color w:val="6FA8A4"/>
          <w:sz w:val="30"/>
        </w:rPr>
        <w:t>A Parent-Friendly Guide to Terms, Eligibility, Services &amp; Rights</w:t>
      </w:r>
    </w:p>
    <w:tbl>
      <w:tblPr>
        <w:tblW w:type="auto" w:w="0"/>
        <w:jc w:val="center"/>
        <w:tblLayout w:type="fixed"/>
        <w:tblLook w:firstColumn="1" w:firstRow="1" w:lastColumn="0" w:lastRow="0" w:noHBand="0" w:noVBand="1" w:val="04A0"/>
      </w:tblPr>
      <w:tblGrid>
        <w:gridCol w:w="10080"/>
      </w:tblGrid>
      <w:tr>
        <w:tc>
          <w:tcPr>
            <w:tcW w:type="dxa" w:w="10368"/>
            <w:shd w:fill="EAF5F4"/>
            <w:tcBorders>
              <w:top w:val="single" w:sz="10" w:color="6FA8A4"/>
              <w:left w:val="single" w:sz="10" w:color="6FA8A4"/>
              <w:bottom w:val="single" w:sz="10" w:color="6FA8A4"/>
              <w:right w:val="single" w:sz="10" w:color="6FA8A4"/>
            </w:tcBorders>
            <w:tcMar>
              <w:top w:w="170" w:type="dxa"/>
              <w:start w:w="180" w:type="dxa"/>
              <w:bottom w:w="170" w:type="dxa"/>
              <w:end w:w="180" w:type="dxa"/>
            </w:tcMar>
          </w:tcPr>
          <w:p>
            <w:pPr>
              <w:spacing w:after="0"/>
              <w:jc w:val="center"/>
            </w:pPr>
            <w:r>
              <w:rPr>
                <w:rFonts w:ascii="Aptos" w:hAnsi="Aptos"/>
                <w:color w:val="273746"/>
                <w:sz w:val="23"/>
              </w:rPr>
              <w:t>IEP language can feel overwhelming. This guide explains common IEP acronyms and terms in plain language so families can better understand evaluations, eligibility, disability categories, goals, services, behavior supports, meetings, and school paperwork.</w:t>
            </w:r>
          </w:p>
        </w:tc>
      </w:tr>
    </w:tbl>
    <w:p>
      <w:pPr>
        <w:spacing w:after="60"/>
      </w:pPr>
    </w:p>
    <w:tbl>
      <w:tblPr>
        <w:tblW w:type="auto" w:w="0"/>
        <w:jc w:val="center"/>
        <w:tblLayout w:type="fixed"/>
        <w:tblLook w:firstColumn="1" w:firstRow="1" w:lastColumn="0" w:lastRow="0" w:noHBand="0" w:noVBand="1" w:val="04A0"/>
      </w:tblPr>
      <w:tblGrid>
        <w:gridCol w:w="10080"/>
      </w:tblGrid>
      <w:tr>
        <w:tc>
          <w:tcPr>
            <w:tcW w:type="dxa" w:w="10368"/>
            <w:shd w:fill="F8F0E5"/>
            <w:tcBorders>
              <w:top w:val="single" w:sz="8" w:color="6FA8A4"/>
              <w:left w:val="single" w:sz="8" w:color="6FA8A4"/>
              <w:bottom w:val="single" w:sz="8" w:color="6FA8A4"/>
              <w:right w:val="single" w:sz="8" w:color="6FA8A4"/>
            </w:tcBorders>
            <w:tcMar>
              <w:top w:w="100" w:type="dxa"/>
              <w:start w:w="150" w:type="dxa"/>
              <w:bottom w:w="100" w:type="dxa"/>
              <w:end w:w="150" w:type="dxa"/>
            </w:tcMar>
          </w:tcPr>
          <w:p>
            <w:r>
              <w:rPr>
                <w:rFonts w:ascii="Aptos" w:hAnsi="Aptos"/>
                <w:b/>
                <w:color w:val="17365D"/>
                <w:sz w:val="21"/>
              </w:rPr>
              <w:t xml:space="preserve">How to use this guide: </w:t>
            </w:r>
            <w:r>
              <w:rPr>
                <w:rFonts w:ascii="Aptos" w:hAnsi="Aptos"/>
                <w:color w:val="273746"/>
                <w:sz w:val="21"/>
              </w:rPr>
              <w:t>Start with 'IEP Essentials,' then use the other sections whenever you see a term in an IEP, evaluation report, email, meeting notice, or school proposal that you do not recognize.</w:t>
            </w:r>
          </w:p>
        </w:tc>
      </w:tr>
    </w:tbl>
    <w:p>
      <w:pPr>
        <w:spacing w:before="240"/>
        <w:jc w:val="center"/>
      </w:pPr>
      <w:r>
        <w:rPr>
          <w:rFonts w:ascii="Aptos" w:hAnsi="Aptos"/>
          <w:i/>
          <w:color w:val="6FA8A4"/>
          <w:sz w:val="24"/>
        </w:rPr>
        <w:t>Together, we untangle the path forward.</w:t>
      </w:r>
    </w:p>
    <w:p>
      <w:r>
        <w:br w:type="page"/>
      </w:r>
    </w:p>
    <w:p>
      <w:pPr>
        <w:spacing w:after="40"/>
      </w:pPr>
      <w:r>
        <w:rPr>
          <w:rFonts w:ascii="Aptos" w:hAnsi="Aptos"/>
          <w:b/>
          <w:color w:val="17365D"/>
          <w:sz w:val="36"/>
        </w:rPr>
        <w:t>1. IEP Essentials</w:t>
      </w:r>
    </w:p>
    <w:p>
      <w:pPr>
        <w:spacing w:after="100"/>
      </w:pPr>
      <w:r>
        <w:rPr>
          <w:rFonts w:ascii="Aptos" w:hAnsi="Aptos"/>
          <w:i/>
          <w:color w:val="6FA8A4"/>
          <w:sz w:val="21"/>
        </w:rPr>
        <w:t>The terms parents are most likely to hear throughout the IEP process</w:t>
      </w:r>
    </w:p>
    <w:tbl>
      <w:tblPr>
        <w:tblW w:type="auto" w:w="0"/>
        <w:jc w:val="center"/>
        <w:tblLayout w:type="fixed"/>
        <w:tblLook w:firstColumn="1" w:firstRow="1" w:lastColumn="0" w:lastRow="0" w:noHBand="0" w:noVBand="1" w:val="04A0"/>
      </w:tblPr>
      <w:tblGrid>
        <w:gridCol w:w="10080"/>
      </w:tblGrid>
      <w:tr>
        <w:tc>
          <w:tcPr>
            <w:tcW w:type="dxa" w:w="10368"/>
            <w:shd w:fill="6FA8A4"/>
            <w:tcMar>
              <w:top w:w="0" w:type="dxa"/>
              <w:start w:w="0" w:type="dxa"/>
              <w:bottom w:w="0" w:type="dxa"/>
              <w:end w:w="0" w:type="dxa"/>
            </w:tcMar>
          </w:tcPr>
          <w:p>
            <w:pPr>
              <w:spacing w:after="0"/>
            </w:pPr>
          </w:p>
        </w:tc>
      </w:tr>
    </w:tbl>
    <w:p>
      <w:pPr>
        <w:spacing w:after="20"/>
      </w:pPr>
    </w:p>
    <w:tbl>
      <w:tblPr>
        <w:tblW w:type="auto" w:w="0"/>
        <w:jc w:val="center"/>
        <w:tblLayout w:type="fixed"/>
        <w:tblLook w:firstColumn="1" w:firstRow="1" w:lastColumn="0" w:lastRow="0" w:noHBand="0" w:noVBand="1" w:val="04A0"/>
      </w:tblPr>
      <w:tblGrid>
        <w:gridCol w:w="1872"/>
        <w:gridCol w:w="3024"/>
        <w:gridCol w:w="5184"/>
      </w:tblGrid>
      <w:tr>
        <w:trPr>
          <w:tblHeader w:val="true"/>
        </w:trPr>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Acronym</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What it stands for</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What it means for parents</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IEP</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Individualized Education Program</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The written plan that describes your child's needs, goals, services, accommodations, and supports.</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IDEA</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Individuals with Disabilities Education Act</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The main federal special education law.</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FAPE</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Free Appropriate Public Education</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Your child has a right to special education and related services at no cost to you.</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LRE</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Least Restrictive Environment</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Your child should learn with nondisabled peers as much as appropriate.</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SDI</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Specially Designed Instruction</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Instruction adapted to meet your child's disability-related needs.</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PLAAFP</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Present Levels of Academic Achievement and Functional Performance</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The part of the IEP that explains where your child is performing now.</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LEA</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Local Educational Agency</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Usually the school district or charter school responsible for services.</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PWN</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Prior Written Notice</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Written notice explaining what the school is proposing or refusing and why.</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NOREP</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Notice of Recommended Educational Placement</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Pennsylvania's form often used for prior written notice and placement decisions.</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AT</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Assistive Technology</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Tools or services that help your child access learning.</w:t>
            </w:r>
          </w:p>
        </w:tc>
      </w:tr>
    </w:tbl>
    <w:p>
      <w:pPr>
        <w:spacing w:after="0"/>
      </w:pPr>
    </w:p>
    <w:tbl>
      <w:tblPr>
        <w:tblW w:type="auto" w:w="0"/>
        <w:jc w:val="center"/>
        <w:tblLayout w:type="fixed"/>
        <w:tblLook w:firstColumn="1" w:firstRow="1" w:lastColumn="0" w:lastRow="0" w:noHBand="0" w:noVBand="1" w:val="04A0"/>
      </w:tblPr>
      <w:tblGrid>
        <w:gridCol w:w="10080"/>
      </w:tblGrid>
      <w:tr>
        <w:tc>
          <w:tcPr>
            <w:tcW w:type="dxa" w:w="10368"/>
            <w:shd w:fill="EAF5F4"/>
            <w:tcMar>
              <w:top w:w="100" w:type="dxa"/>
              <w:start w:w="120" w:type="dxa"/>
              <w:bottom w:w="100" w:type="dxa"/>
              <w:end w:w="120" w:type="dxa"/>
            </w:tcMar>
            <w:tcBorders>
              <w:top w:val="single" w:sz="8" w:color="6FA8A4"/>
              <w:left w:val="single" w:sz="8" w:color="6FA8A4"/>
              <w:bottom w:val="single" w:sz="8" w:color="6FA8A4"/>
              <w:right w:val="single" w:sz="8" w:color="6FA8A4"/>
            </w:tcBorders>
          </w:tcPr>
          <w:p>
            <w:pPr>
              <w:spacing w:after="0"/>
            </w:pPr>
            <w:r>
              <w:rPr>
                <w:rFonts w:ascii="Aptos" w:hAnsi="Aptos"/>
                <w:b/>
                <w:color w:val="17365D"/>
                <w:sz w:val="19"/>
              </w:rPr>
              <w:t xml:space="preserve">Parent reminder: </w:t>
            </w:r>
            <w:r>
              <w:rPr>
                <w:rFonts w:ascii="Aptos" w:hAnsi="Aptos"/>
                <w:color w:val="273746"/>
                <w:sz w:val="19"/>
              </w:rPr>
              <w:t>The IEP is an individualized plan. The labels and acronyms matter, but the most important question is how the plan addresses your child's specific needs.</w:t>
            </w:r>
          </w:p>
        </w:tc>
      </w:tr>
    </w:tbl>
    <w:p>
      <w:r>
        <w:br w:type="page"/>
      </w:r>
    </w:p>
    <w:p>
      <w:pPr>
        <w:spacing w:after="40"/>
      </w:pPr>
      <w:r>
        <w:rPr>
          <w:rFonts w:ascii="Aptos" w:hAnsi="Aptos"/>
          <w:b/>
          <w:color w:val="17365D"/>
          <w:sz w:val="36"/>
        </w:rPr>
        <w:t>2. Evaluation &amp; Eligibility Terms</w:t>
      </w:r>
    </w:p>
    <w:p>
      <w:pPr>
        <w:spacing w:after="100"/>
      </w:pPr>
      <w:r>
        <w:rPr>
          <w:rFonts w:ascii="Aptos" w:hAnsi="Aptos"/>
          <w:i/>
          <w:color w:val="6FA8A4"/>
          <w:sz w:val="21"/>
        </w:rPr>
        <w:t>These terms often appear during referral, testing, reevaluation, and eligibility</w:t>
      </w:r>
    </w:p>
    <w:tbl>
      <w:tblPr>
        <w:tblW w:type="auto" w:w="0"/>
        <w:jc w:val="center"/>
        <w:tblLayout w:type="fixed"/>
        <w:tblLook w:firstColumn="1" w:firstRow="1" w:lastColumn="0" w:lastRow="0" w:noHBand="0" w:noVBand="1" w:val="04A0"/>
      </w:tblPr>
      <w:tblGrid>
        <w:gridCol w:w="10080"/>
      </w:tblGrid>
      <w:tr>
        <w:tc>
          <w:tcPr>
            <w:tcW w:type="dxa" w:w="10368"/>
            <w:shd w:fill="6FA8A4"/>
            <w:tcMar>
              <w:top w:w="0" w:type="dxa"/>
              <w:start w:w="0" w:type="dxa"/>
              <w:bottom w:w="0" w:type="dxa"/>
              <w:end w:w="0" w:type="dxa"/>
            </w:tcMar>
          </w:tcPr>
          <w:p>
            <w:pPr>
              <w:spacing w:after="0"/>
            </w:pPr>
          </w:p>
        </w:tc>
      </w:tr>
    </w:tbl>
    <w:p>
      <w:pPr>
        <w:spacing w:after="20"/>
      </w:pPr>
    </w:p>
    <w:tbl>
      <w:tblPr>
        <w:tblW w:type="auto" w:w="0"/>
        <w:jc w:val="center"/>
        <w:tblLayout w:type="fixed"/>
        <w:tblLook w:firstColumn="1" w:firstRow="1" w:lastColumn="0" w:lastRow="0" w:noHBand="0" w:noVBand="1" w:val="04A0"/>
      </w:tblPr>
      <w:tblGrid>
        <w:gridCol w:w="1872"/>
        <w:gridCol w:w="3024"/>
        <w:gridCol w:w="5184"/>
      </w:tblGrid>
      <w:tr>
        <w:trPr>
          <w:tblHeader w:val="true"/>
        </w:trPr>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Acronym</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What it stands for</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What it means for parents</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ER</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Evaluation Report</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The report used for an initial special education evaluation.</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RR</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Reevaluation Report</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The report used when a student is reevaluated after already receiving special education.</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IEE</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Independent Educational Evaluation</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An outside evaluation that parents may request when they disagree with the school's evaluation.</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FIIE</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Full and Individual Initial Evaluation</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 full first evaluation of a student's suspected disability-related needs.</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MTSS</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Multi-Tiered System of Supports</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 framework for providing increasing levels of support before or alongside special education.</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RTI</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Response to Intervention</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 structured approach to providing interventions and monitoring progress.</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PTE</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Permission to Evaluate</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 form asking for parent consent before the school starts an initial evaluation.</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SLD</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Specific Learning Disability</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An eligibility category that may include difficulties with reading, writing, or math.</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OHI</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Other Health Impairment</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An eligibility category often used for ADHD or health conditions that affect learning.</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Eligibility</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Eligibility Determination</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The team's decision about whether your child qualifies for special education and under what category.</w:t>
            </w:r>
          </w:p>
        </w:tc>
      </w:tr>
    </w:tbl>
    <w:p>
      <w:pPr>
        <w:spacing w:after="0"/>
      </w:pPr>
    </w:p>
    <w:tbl>
      <w:tblPr>
        <w:tblW w:type="auto" w:w="0"/>
        <w:jc w:val="center"/>
        <w:tblLayout w:type="fixed"/>
        <w:tblLook w:firstColumn="1" w:firstRow="1" w:lastColumn="0" w:lastRow="0" w:noHBand="0" w:noVBand="1" w:val="04A0"/>
      </w:tblPr>
      <w:tblGrid>
        <w:gridCol w:w="10080"/>
      </w:tblGrid>
      <w:tr>
        <w:tc>
          <w:tcPr>
            <w:tcW w:type="dxa" w:w="10368"/>
            <w:shd w:fill="EAF5F4"/>
            <w:tcMar>
              <w:top w:w="100" w:type="dxa"/>
              <w:start w:w="120" w:type="dxa"/>
              <w:bottom w:w="100" w:type="dxa"/>
              <w:end w:w="120" w:type="dxa"/>
            </w:tcMar>
            <w:tcBorders>
              <w:top w:val="single" w:sz="8" w:color="6FA8A4"/>
              <w:left w:val="single" w:sz="8" w:color="6FA8A4"/>
              <w:bottom w:val="single" w:sz="8" w:color="6FA8A4"/>
              <w:right w:val="single" w:sz="8" w:color="6FA8A4"/>
            </w:tcBorders>
          </w:tcPr>
          <w:p>
            <w:pPr>
              <w:spacing w:after="0"/>
            </w:pPr>
            <w:r>
              <w:rPr>
                <w:rFonts w:ascii="Aptos" w:hAnsi="Aptos"/>
                <w:b/>
                <w:color w:val="17365D"/>
                <w:sz w:val="19"/>
              </w:rPr>
              <w:t xml:space="preserve">Parent tip: </w:t>
            </w:r>
            <w:r>
              <w:rPr>
                <w:rFonts w:ascii="Aptos" w:hAnsi="Aptos"/>
                <w:color w:val="273746"/>
                <w:sz w:val="19"/>
              </w:rPr>
              <w:t>If you do not understand a score, report, or recommendation in an ER or RR, ask the school to explain it in everyday language. You can also ask how the data connect to eligibility, IEP goals, and services.</w:t>
            </w:r>
          </w:p>
        </w:tc>
      </w:tr>
    </w:tbl>
    <w:p>
      <w:r>
        <w:br w:type="page"/>
      </w:r>
    </w:p>
    <w:p>
      <w:pPr>
        <w:spacing w:after="40"/>
      </w:pPr>
      <w:r>
        <w:rPr>
          <w:rFonts w:ascii="Aptos" w:hAnsi="Aptos"/>
          <w:b/>
          <w:color w:val="17365D"/>
          <w:sz w:val="36"/>
        </w:rPr>
        <w:t>3. IDEA Disability Categories</w:t>
      </w:r>
    </w:p>
    <w:p>
      <w:pPr>
        <w:spacing w:after="100"/>
      </w:pPr>
      <w:r>
        <w:rPr>
          <w:rFonts w:ascii="Aptos" w:hAnsi="Aptos"/>
          <w:i/>
          <w:color w:val="6FA8A4"/>
          <w:sz w:val="21"/>
        </w:rPr>
        <w:t>Parent-friendly explanations of the federal IDEA categories and Pennsylvania preschool Developmental Delay</w:t>
      </w:r>
    </w:p>
    <w:tbl>
      <w:tblPr>
        <w:tblW w:type="auto" w:w="0"/>
        <w:jc w:val="center"/>
        <w:tblLayout w:type="fixed"/>
        <w:tblLook w:firstColumn="1" w:firstRow="1" w:lastColumn="0" w:lastRow="0" w:noHBand="0" w:noVBand="1" w:val="04A0"/>
      </w:tblPr>
      <w:tblGrid>
        <w:gridCol w:w="10080"/>
      </w:tblGrid>
      <w:tr>
        <w:tc>
          <w:tcPr>
            <w:tcW w:type="dxa" w:w="10368"/>
            <w:shd w:fill="6FA8A4"/>
            <w:tcMar>
              <w:top w:w="0" w:type="dxa"/>
              <w:start w:w="0" w:type="dxa"/>
              <w:bottom w:w="0" w:type="dxa"/>
              <w:end w:w="0" w:type="dxa"/>
            </w:tcMar>
          </w:tcPr>
          <w:p>
            <w:pPr>
              <w:spacing w:after="0"/>
            </w:pPr>
          </w:p>
        </w:tc>
      </w:tr>
    </w:tbl>
    <w:p>
      <w:pPr>
        <w:spacing w:after="20"/>
      </w:pPr>
    </w:p>
    <w:tbl>
      <w:tblPr>
        <w:tblW w:type="auto" w:w="0"/>
        <w:jc w:val="center"/>
        <w:tblLayout w:type="fixed"/>
        <w:tblLook w:firstColumn="1" w:firstRow="1" w:lastColumn="0" w:lastRow="0" w:noHBand="0" w:noVBand="1" w:val="04A0"/>
      </w:tblPr>
      <w:tblGrid>
        <w:gridCol w:w="2448"/>
        <w:gridCol w:w="3744"/>
        <w:gridCol w:w="3888"/>
      </w:tblGrid>
      <w:tr>
        <w:trPr>
          <w:tblHeader w:val="true"/>
        </w:trPr>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Disability category</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Parent-friendly definition</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What parents should know</w:t>
            </w:r>
          </w:p>
        </w:tc>
      </w:tr>
      <w:tr>
        <w:tc>
          <w:tcPr>
            <w:tcW w:type="dxa" w:w="2448"/>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Autism</w:t>
            </w:r>
          </w:p>
        </w:tc>
        <w:tc>
          <w:tcPr>
            <w:tcW w:type="dxa" w:w="374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A developmental disability affecting communication, social interaction, behavior, routines, or sensory responses.</w:t>
            </w:r>
          </w:p>
        </w:tc>
        <w:tc>
          <w:tcPr>
            <w:tcW w:type="dxa" w:w="3888"/>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Eligibility requires an adverse educational impact and a need for special education.</w:t>
            </w:r>
          </w:p>
        </w:tc>
      </w:tr>
      <w:tr>
        <w:tc>
          <w:tcPr>
            <w:tcW w:type="dxa" w:w="2448"/>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Deaf-Blindness</w:t>
            </w:r>
          </w:p>
        </w:tc>
        <w:tc>
          <w:tcPr>
            <w:tcW w:type="dxa" w:w="374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Combined hearing and vision impairments that create unique communication and educational needs.</w:t>
            </w:r>
          </w:p>
        </w:tc>
        <w:tc>
          <w:tcPr>
            <w:tcW w:type="dxa" w:w="3888"/>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Supports must address the combined impact of both hearing and vision loss.</w:t>
            </w:r>
          </w:p>
        </w:tc>
      </w:tr>
      <w:tr>
        <w:tc>
          <w:tcPr>
            <w:tcW w:type="dxa" w:w="2448"/>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Deafness</w:t>
            </w:r>
          </w:p>
        </w:tc>
        <w:tc>
          <w:tcPr>
            <w:tcW w:type="dxa" w:w="374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Hearing loss so significant that processing spoken language through hearing is seriously affected.</w:t>
            </w:r>
          </w:p>
        </w:tc>
        <w:tc>
          <w:tcPr>
            <w:tcW w:type="dxa" w:w="3888"/>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The team considers access to communication and instruction, with or without amplification.</w:t>
            </w:r>
          </w:p>
        </w:tc>
      </w:tr>
      <w:tr>
        <w:tc>
          <w:tcPr>
            <w:tcW w:type="dxa" w:w="2448"/>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Developmental Delay (DD)</w:t>
            </w:r>
          </w:p>
        </w:tc>
        <w:tc>
          <w:tcPr>
            <w:tcW w:type="dxa" w:w="374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Significant delay in physical, cognitive, communication, social-emotional, or adaptive development.</w:t>
            </w:r>
          </w:p>
        </w:tc>
        <w:tc>
          <w:tcPr>
            <w:tcW w:type="dxa" w:w="3888"/>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In Pennsylvania, DD is used in preschool Early Intervention, not as a school-age category.</w:t>
            </w:r>
          </w:p>
        </w:tc>
      </w:tr>
      <w:tr>
        <w:tc>
          <w:tcPr>
            <w:tcW w:type="dxa" w:w="2448"/>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Emotional Disturbance (ED)</w:t>
            </w:r>
          </w:p>
        </w:tc>
        <w:tc>
          <w:tcPr>
            <w:tcW w:type="dxa" w:w="374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A long-term, significant emotional or behavioral condition that adversely affects educational performance.</w:t>
            </w:r>
          </w:p>
        </w:tc>
        <w:tc>
          <w:tcPr>
            <w:tcW w:type="dxa" w:w="3888"/>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IDEA includes patterns involving learning, relationships, behavior/feelings, depression, or school-related fears.</w:t>
            </w:r>
          </w:p>
        </w:tc>
      </w:tr>
    </w:tbl>
    <w:p>
      <w:pPr>
        <w:spacing w:after="0"/>
      </w:pPr>
    </w:p>
    <w:tbl>
      <w:tblPr>
        <w:tblW w:type="auto" w:w="0"/>
        <w:jc w:val="center"/>
        <w:tblLayout w:type="fixed"/>
        <w:tblLook w:firstColumn="1" w:firstRow="1" w:lastColumn="0" w:lastRow="0" w:noHBand="0" w:noVBand="1" w:val="04A0"/>
      </w:tblPr>
      <w:tblGrid>
        <w:gridCol w:w="10080"/>
      </w:tblGrid>
      <w:tr>
        <w:tc>
          <w:tcPr>
            <w:tcW w:type="dxa" w:w="10368"/>
            <w:shd w:fill="EAF5F4"/>
            <w:tcMar>
              <w:top w:w="100" w:type="dxa"/>
              <w:start w:w="120" w:type="dxa"/>
              <w:bottom w:w="100" w:type="dxa"/>
              <w:end w:w="120" w:type="dxa"/>
            </w:tcMar>
            <w:tcBorders>
              <w:top w:val="single" w:sz="8" w:color="6FA8A4"/>
              <w:left w:val="single" w:sz="8" w:color="6FA8A4"/>
              <w:bottom w:val="single" w:sz="8" w:color="6FA8A4"/>
              <w:right w:val="single" w:sz="8" w:color="6FA8A4"/>
            </w:tcBorders>
          </w:tcPr>
          <w:p>
            <w:pPr>
              <w:spacing w:after="0"/>
            </w:pPr>
            <w:r>
              <w:rPr>
                <w:rFonts w:ascii="Aptos" w:hAnsi="Aptos"/>
                <w:b/>
                <w:color w:val="17365D"/>
                <w:sz w:val="19"/>
              </w:rPr>
              <w:t xml:space="preserve">Important: </w:t>
            </w:r>
            <w:r>
              <w:rPr>
                <w:rFonts w:ascii="Aptos" w:hAnsi="Aptos"/>
                <w:color w:val="273746"/>
                <w:sz w:val="19"/>
              </w:rPr>
              <w:t>Federal IDEA regulations list 13 disability categories. Pennsylvania also uses Developmental Delay for eligible preschool-age children, so this guide shows 14 categories.</w:t>
            </w:r>
          </w:p>
        </w:tc>
      </w:tr>
    </w:tbl>
    <w:p>
      <w:r>
        <w:br w:type="page"/>
      </w:r>
    </w:p>
    <w:p>
      <w:pPr>
        <w:spacing w:after="40"/>
      </w:pPr>
      <w:r>
        <w:rPr>
          <w:rFonts w:ascii="Aptos" w:hAnsi="Aptos"/>
          <w:b/>
          <w:color w:val="17365D"/>
          <w:sz w:val="36"/>
        </w:rPr>
        <w:t>3. IDEA Disability Categories (continued)</w:t>
      </w:r>
    </w:p>
    <w:p>
      <w:pPr>
        <w:spacing w:after="100"/>
      </w:pPr>
      <w:r>
        <w:rPr>
          <w:rFonts w:ascii="Aptos" w:hAnsi="Aptos"/>
          <w:i/>
          <w:color w:val="6FA8A4"/>
          <w:sz w:val="21"/>
        </w:rPr>
        <w:t>Eligibility categories describe broad areas; each child still needs an individualized evaluation</w:t>
      </w:r>
    </w:p>
    <w:tbl>
      <w:tblPr>
        <w:tblW w:type="auto" w:w="0"/>
        <w:jc w:val="center"/>
        <w:tblLayout w:type="fixed"/>
        <w:tblLook w:firstColumn="1" w:firstRow="1" w:lastColumn="0" w:lastRow="0" w:noHBand="0" w:noVBand="1" w:val="04A0"/>
      </w:tblPr>
      <w:tblGrid>
        <w:gridCol w:w="10080"/>
      </w:tblGrid>
      <w:tr>
        <w:tc>
          <w:tcPr>
            <w:tcW w:type="dxa" w:w="10368"/>
            <w:shd w:fill="6FA8A4"/>
            <w:tcMar>
              <w:top w:w="0" w:type="dxa"/>
              <w:start w:w="0" w:type="dxa"/>
              <w:bottom w:w="0" w:type="dxa"/>
              <w:end w:w="0" w:type="dxa"/>
            </w:tcMar>
          </w:tcPr>
          <w:p>
            <w:pPr>
              <w:spacing w:after="0"/>
            </w:pPr>
          </w:p>
        </w:tc>
      </w:tr>
    </w:tbl>
    <w:p>
      <w:pPr>
        <w:spacing w:after="20"/>
      </w:pPr>
    </w:p>
    <w:tbl>
      <w:tblPr>
        <w:tblW w:type="auto" w:w="0"/>
        <w:jc w:val="center"/>
        <w:tblLayout w:type="fixed"/>
        <w:tblLook w:firstColumn="1" w:firstRow="1" w:lastColumn="0" w:lastRow="0" w:noHBand="0" w:noVBand="1" w:val="04A0"/>
      </w:tblPr>
      <w:tblGrid>
        <w:gridCol w:w="2448"/>
        <w:gridCol w:w="3744"/>
        <w:gridCol w:w="3888"/>
      </w:tblGrid>
      <w:tr>
        <w:trPr>
          <w:tblHeader w:val="true"/>
        </w:trPr>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Disability category</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Parent-friendly definition</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What parents should know</w:t>
            </w:r>
          </w:p>
        </w:tc>
      </w:tr>
      <w:tr>
        <w:tc>
          <w:tcPr>
            <w:tcW w:type="dxa" w:w="2448"/>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Hearing Impairment (HI)</w:t>
            </w:r>
          </w:p>
        </w:tc>
        <w:tc>
          <w:tcPr>
            <w:tcW w:type="dxa" w:w="374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Permanent or fluctuating hearing loss that affects education but does not meet IDEA's definition of deafness.</w:t>
            </w:r>
          </w:p>
        </w:tc>
        <w:tc>
          <w:tcPr>
            <w:tcW w:type="dxa" w:w="3888"/>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The team considers access to speech, instruction, and classroom communication.</w:t>
            </w:r>
          </w:p>
        </w:tc>
      </w:tr>
      <w:tr>
        <w:tc>
          <w:tcPr>
            <w:tcW w:type="dxa" w:w="2448"/>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Intellectual Disability (ID)</w:t>
            </w:r>
          </w:p>
        </w:tc>
        <w:tc>
          <w:tcPr>
            <w:tcW w:type="dxa" w:w="374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Significantly below-average intellectual functioning together with limitations in adaptive behavior.</w:t>
            </w:r>
          </w:p>
        </w:tc>
        <w:tc>
          <w:tcPr>
            <w:tcW w:type="dxa" w:w="3888"/>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Adaptive skills can include communication, self-care, social, academic, and independent-living skills.</w:t>
            </w:r>
          </w:p>
        </w:tc>
      </w:tr>
      <w:tr>
        <w:tc>
          <w:tcPr>
            <w:tcW w:type="dxa" w:w="2448"/>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Multiple Disabilities (MD)</w:t>
            </w:r>
          </w:p>
        </w:tc>
        <w:tc>
          <w:tcPr>
            <w:tcW w:type="dxa" w:w="374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Two or more disabilities occurring together and creating significant combined educational needs.</w:t>
            </w:r>
          </w:p>
        </w:tc>
        <w:tc>
          <w:tcPr>
            <w:tcW w:type="dxa" w:w="3888"/>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IDEA treats deaf-blindness as a separate category.</w:t>
            </w:r>
          </w:p>
        </w:tc>
      </w:tr>
      <w:tr>
        <w:tc>
          <w:tcPr>
            <w:tcW w:type="dxa" w:w="2448"/>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Orthopedic Impairment (OI)</w:t>
            </w:r>
          </w:p>
        </w:tc>
        <w:tc>
          <w:tcPr>
            <w:tcW w:type="dxa" w:w="374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A severe physical or orthopedic impairment that adversely affects educational performance.</w:t>
            </w:r>
          </w:p>
        </w:tc>
        <w:tc>
          <w:tcPr>
            <w:tcW w:type="dxa" w:w="3888"/>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Examples can include cerebral palsy, amputations, congenital conditions, disease, or significant injury.</w:t>
            </w:r>
          </w:p>
        </w:tc>
      </w:tr>
      <w:tr>
        <w:tc>
          <w:tcPr>
            <w:tcW w:type="dxa" w:w="2448"/>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Other Health Impairment (OHI)</w:t>
            </w:r>
          </w:p>
        </w:tc>
        <w:tc>
          <w:tcPr>
            <w:tcW w:type="dxa" w:w="374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Limited strength, vitality, or alertness due to a chronic or acute health condition.</w:t>
            </w:r>
          </w:p>
        </w:tc>
        <w:tc>
          <w:tcPr>
            <w:tcW w:type="dxa" w:w="3888"/>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IDEA examples include ADHD, asthma, diabetes, epilepsy, heart conditions, sickle cell disease, and Tourette syndrome.</w:t>
            </w:r>
          </w:p>
        </w:tc>
      </w:tr>
    </w:tbl>
    <w:p>
      <w:pPr>
        <w:spacing w:after="0"/>
      </w:pPr>
    </w:p>
    <w:tbl>
      <w:tblPr>
        <w:tblW w:type="auto" w:w="0"/>
        <w:jc w:val="center"/>
        <w:tblLayout w:type="fixed"/>
        <w:tblLook w:firstColumn="1" w:firstRow="1" w:lastColumn="0" w:lastRow="0" w:noHBand="0" w:noVBand="1" w:val="04A0"/>
      </w:tblPr>
      <w:tblGrid>
        <w:gridCol w:w="10080"/>
      </w:tblGrid>
      <w:tr>
        <w:tc>
          <w:tcPr>
            <w:tcW w:type="dxa" w:w="10368"/>
            <w:shd w:fill="EAF5F4"/>
            <w:tcMar>
              <w:top w:w="100" w:type="dxa"/>
              <w:start w:w="120" w:type="dxa"/>
              <w:bottom w:w="100" w:type="dxa"/>
              <w:end w:w="120" w:type="dxa"/>
            </w:tcMar>
            <w:tcBorders>
              <w:top w:val="single" w:sz="8" w:color="6FA8A4"/>
              <w:left w:val="single" w:sz="8" w:color="6FA8A4"/>
              <w:bottom w:val="single" w:sz="8" w:color="6FA8A4"/>
              <w:right w:val="single" w:sz="8" w:color="6FA8A4"/>
            </w:tcBorders>
          </w:tcPr>
          <w:p>
            <w:pPr>
              <w:spacing w:after="0"/>
            </w:pPr>
            <w:r>
              <w:rPr>
                <w:rFonts w:ascii="Aptos" w:hAnsi="Aptos"/>
                <w:b/>
                <w:color w:val="17365D"/>
                <w:sz w:val="19"/>
              </w:rPr>
              <w:t xml:space="preserve">Parent tip: </w:t>
            </w:r>
            <w:r>
              <w:rPr>
                <w:rFonts w:ascii="Aptos" w:hAnsi="Aptos"/>
                <w:color w:val="273746"/>
                <w:sz w:val="19"/>
              </w:rPr>
              <w:t>Ask the team to explain not only the disability category, but also the specific academic, communication, behavioral, physical, sensory, or functional needs identified by the evaluation.</w:t>
            </w:r>
          </w:p>
        </w:tc>
      </w:tr>
    </w:tbl>
    <w:p>
      <w:r>
        <w:br w:type="page"/>
      </w:r>
    </w:p>
    <w:p>
      <w:pPr>
        <w:spacing w:after="40"/>
      </w:pPr>
      <w:r>
        <w:rPr>
          <w:rFonts w:ascii="Aptos" w:hAnsi="Aptos"/>
          <w:b/>
          <w:color w:val="17365D"/>
          <w:sz w:val="36"/>
        </w:rPr>
        <w:t>3. IDEA Disability Categories (continued)</w:t>
      </w:r>
    </w:p>
    <w:p>
      <w:pPr>
        <w:spacing w:after="100"/>
      </w:pPr>
      <w:r>
        <w:rPr>
          <w:rFonts w:ascii="Aptos" w:hAnsi="Aptos"/>
          <w:i/>
          <w:color w:val="6FA8A4"/>
          <w:sz w:val="21"/>
        </w:rPr>
        <w:t>The IEP should be driven by individual needs, not by a label alone</w:t>
      </w:r>
    </w:p>
    <w:tbl>
      <w:tblPr>
        <w:tblW w:type="auto" w:w="0"/>
        <w:jc w:val="center"/>
        <w:tblLayout w:type="fixed"/>
        <w:tblLook w:firstColumn="1" w:firstRow="1" w:lastColumn="0" w:lastRow="0" w:noHBand="0" w:noVBand="1" w:val="04A0"/>
      </w:tblPr>
      <w:tblGrid>
        <w:gridCol w:w="10080"/>
      </w:tblGrid>
      <w:tr>
        <w:tc>
          <w:tcPr>
            <w:tcW w:type="dxa" w:w="10368"/>
            <w:shd w:fill="6FA8A4"/>
            <w:tcMar>
              <w:top w:w="0" w:type="dxa"/>
              <w:start w:w="0" w:type="dxa"/>
              <w:bottom w:w="0" w:type="dxa"/>
              <w:end w:w="0" w:type="dxa"/>
            </w:tcMar>
          </w:tcPr>
          <w:p>
            <w:pPr>
              <w:spacing w:after="0"/>
            </w:pPr>
          </w:p>
        </w:tc>
      </w:tr>
    </w:tbl>
    <w:p>
      <w:pPr>
        <w:spacing w:after="20"/>
      </w:pPr>
    </w:p>
    <w:tbl>
      <w:tblPr>
        <w:tblW w:type="auto" w:w="0"/>
        <w:jc w:val="center"/>
        <w:tblLayout w:type="fixed"/>
        <w:tblLook w:firstColumn="1" w:firstRow="1" w:lastColumn="0" w:lastRow="0" w:noHBand="0" w:noVBand="1" w:val="04A0"/>
      </w:tblPr>
      <w:tblGrid>
        <w:gridCol w:w="2448"/>
        <w:gridCol w:w="3744"/>
        <w:gridCol w:w="3888"/>
      </w:tblGrid>
      <w:tr>
        <w:trPr>
          <w:tblHeader w:val="true"/>
        </w:trPr>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Disability category</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Parent-friendly definition</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What parents should know</w:t>
            </w:r>
          </w:p>
        </w:tc>
      </w:tr>
      <w:tr>
        <w:tc>
          <w:tcPr>
            <w:tcW w:type="dxa" w:w="2448"/>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Specific Learning Disability (SLD)</w:t>
            </w:r>
          </w:p>
        </w:tc>
        <w:tc>
          <w:tcPr>
            <w:tcW w:type="dxa" w:w="374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A disorder affecting processes used to understand or use spoken or written language.</w:t>
            </w:r>
          </w:p>
        </w:tc>
        <w:tc>
          <w:tcPr>
            <w:tcW w:type="dxa" w:w="3888"/>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It may affect listening, speaking, reading, writing, spelling, or math; IDEA includes dyslexia.</w:t>
            </w:r>
          </w:p>
        </w:tc>
      </w:tr>
      <w:tr>
        <w:tc>
          <w:tcPr>
            <w:tcW w:type="dxa" w:w="2448"/>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Speech or Language Impairment (SLI)</w:t>
            </w:r>
          </w:p>
        </w:tc>
        <w:tc>
          <w:tcPr>
            <w:tcW w:type="dxa" w:w="374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A communication disorder such as articulation, fluency, voice, or language impairment.</w:t>
            </w:r>
          </w:p>
        </w:tc>
        <w:tc>
          <w:tcPr>
            <w:tcW w:type="dxa" w:w="3888"/>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The communication need must adversely affect educational performance.</w:t>
            </w:r>
          </w:p>
        </w:tc>
      </w:tr>
      <w:tr>
        <w:tc>
          <w:tcPr>
            <w:tcW w:type="dxa" w:w="2448"/>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Traumatic Brain Injury (TBI)</w:t>
            </w:r>
          </w:p>
        </w:tc>
        <w:tc>
          <w:tcPr>
            <w:tcW w:type="dxa" w:w="374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An acquired brain injury caused by an external physical force that affects educational functioning.</w:t>
            </w:r>
          </w:p>
        </w:tc>
        <w:tc>
          <w:tcPr>
            <w:tcW w:type="dxa" w:w="3888"/>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Possible impacts include memory, attention, language, behavior, reasoning, processing, or motor skills.</w:t>
            </w:r>
          </w:p>
        </w:tc>
      </w:tr>
      <w:tr>
        <w:tc>
          <w:tcPr>
            <w:tcW w:type="dxa" w:w="2448"/>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Visual Impairment, Including Blindness (VI)</w:t>
            </w:r>
          </w:p>
        </w:tc>
        <w:tc>
          <w:tcPr>
            <w:tcW w:type="dxa" w:w="374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Vision loss that, even with correction, adversely affects educational performance.</w:t>
            </w:r>
          </w:p>
        </w:tc>
        <w:tc>
          <w:tcPr>
            <w:tcW w:type="dxa" w:w="3888"/>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The term includes low vision and blindness.</w:t>
            </w:r>
          </w:p>
        </w:tc>
      </w:tr>
    </w:tbl>
    <w:p>
      <w:pPr>
        <w:spacing w:after="0"/>
      </w:pPr>
    </w:p>
    <w:tbl>
      <w:tblPr>
        <w:tblW w:type="auto" w:w="0"/>
        <w:jc w:val="center"/>
        <w:tblLayout w:type="fixed"/>
        <w:tblLook w:firstColumn="1" w:firstRow="1" w:lastColumn="0" w:lastRow="0" w:noHBand="0" w:noVBand="1" w:val="04A0"/>
      </w:tblPr>
      <w:tblGrid>
        <w:gridCol w:w="10080"/>
      </w:tblGrid>
      <w:tr>
        <w:tc>
          <w:tcPr>
            <w:tcW w:type="dxa" w:w="10368"/>
            <w:shd w:fill="EAF5F4"/>
            <w:tcMar>
              <w:top w:w="100" w:type="dxa"/>
              <w:start w:w="120" w:type="dxa"/>
              <w:bottom w:w="100" w:type="dxa"/>
              <w:end w:w="120" w:type="dxa"/>
            </w:tcMar>
            <w:tcBorders>
              <w:top w:val="single" w:sz="8" w:color="6FA8A4"/>
              <w:left w:val="single" w:sz="8" w:color="6FA8A4"/>
              <w:bottom w:val="single" w:sz="8" w:color="6FA8A4"/>
              <w:right w:val="single" w:sz="8" w:color="6FA8A4"/>
            </w:tcBorders>
          </w:tcPr>
          <w:p>
            <w:pPr>
              <w:spacing w:after="0"/>
            </w:pPr>
            <w:r>
              <w:rPr>
                <w:rFonts w:ascii="Aptos" w:hAnsi="Aptos"/>
                <w:b/>
                <w:color w:val="17365D"/>
                <w:sz w:val="19"/>
              </w:rPr>
              <w:t xml:space="preserve">Parent tip: </w:t>
            </w:r>
            <w:r>
              <w:rPr>
                <w:rFonts w:ascii="Aptos" w:hAnsi="Aptos"/>
                <w:color w:val="273746"/>
                <w:sz w:val="19"/>
              </w:rPr>
              <w:t>Two students with the same category can need very different services. Connect evaluation data to present levels, goals, specially designed instruction, accommodations, and related services.</w:t>
            </w:r>
          </w:p>
        </w:tc>
      </w:tr>
    </w:tbl>
    <w:p>
      <w:r>
        <w:br w:type="page"/>
      </w:r>
    </w:p>
    <w:p>
      <w:pPr>
        <w:spacing w:after="40"/>
      </w:pPr>
      <w:r>
        <w:rPr>
          <w:rFonts w:ascii="Aptos" w:hAnsi="Aptos"/>
          <w:b/>
          <w:color w:val="17365D"/>
          <w:sz w:val="36"/>
        </w:rPr>
        <w:t>4. IEP Supports &amp; Service Terms</w:t>
      </w:r>
    </w:p>
    <w:p>
      <w:pPr>
        <w:spacing w:after="100"/>
      </w:pPr>
      <w:r>
        <w:rPr>
          <w:rFonts w:ascii="Aptos" w:hAnsi="Aptos"/>
          <w:i/>
          <w:color w:val="6FA8A4"/>
          <w:sz w:val="21"/>
        </w:rPr>
        <w:t>These terms are often used in the IEP itself</w:t>
      </w:r>
    </w:p>
    <w:tbl>
      <w:tblPr>
        <w:tblW w:type="auto" w:w="0"/>
        <w:jc w:val="center"/>
        <w:tblLayout w:type="fixed"/>
        <w:tblLook w:firstColumn="1" w:firstRow="1" w:lastColumn="0" w:lastRow="0" w:noHBand="0" w:noVBand="1" w:val="04A0"/>
      </w:tblPr>
      <w:tblGrid>
        <w:gridCol w:w="10080"/>
      </w:tblGrid>
      <w:tr>
        <w:tc>
          <w:tcPr>
            <w:tcW w:type="dxa" w:w="10368"/>
            <w:shd w:fill="6FA8A4"/>
            <w:tcMar>
              <w:top w:w="0" w:type="dxa"/>
              <w:start w:w="0" w:type="dxa"/>
              <w:bottom w:w="0" w:type="dxa"/>
              <w:end w:w="0" w:type="dxa"/>
            </w:tcMar>
          </w:tcPr>
          <w:p>
            <w:pPr>
              <w:spacing w:after="0"/>
            </w:pPr>
          </w:p>
        </w:tc>
      </w:tr>
    </w:tbl>
    <w:p>
      <w:pPr>
        <w:spacing w:after="20"/>
      </w:pPr>
    </w:p>
    <w:tbl>
      <w:tblPr>
        <w:tblW w:type="auto" w:w="0"/>
        <w:jc w:val="center"/>
        <w:tblLayout w:type="fixed"/>
        <w:tblLook w:firstColumn="1" w:firstRow="1" w:lastColumn="0" w:lastRow="0" w:noHBand="0" w:noVBand="1" w:val="04A0"/>
      </w:tblPr>
      <w:tblGrid>
        <w:gridCol w:w="1872"/>
        <w:gridCol w:w="3024"/>
        <w:gridCol w:w="5184"/>
      </w:tblGrid>
      <w:tr>
        <w:trPr>
          <w:tblHeader w:val="true"/>
        </w:trPr>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Acronym / term</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What it stands for</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What it means for parents</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OT</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Occupational Therapy</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Services that may help with handwriting, fine-motor skills, sensory needs, and school tasks.</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PT</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Physical Therapy</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Services that may support gross-motor skills, mobility, and physical access.</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SLP</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Speech-Language Pathologist</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 provider who supports speech, language, and communication.</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ESY</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Extended School Year</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Special education services beyond the regular school year when needed for FAPE.</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Para</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Paraprofessional</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 staff member who may support the student under school supervision.</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Accommodations</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Accommodations</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Changes in how your child learns or shows learning without changing what is expected.</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Modifications</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Modifications</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Changes in what your child is expected to learn or complete.</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Related Services</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Related Services</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Support services required to help your child benefit from special education.</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Supplementary Aids</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Supplementary Aids and Services</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Supports that help your child succeed in general education settings.</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Transition</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Transition Services</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Planning and services that help students prepare for adult life, work, and further education.</w:t>
            </w:r>
          </w:p>
        </w:tc>
      </w:tr>
    </w:tbl>
    <w:p>
      <w:pPr>
        <w:spacing w:after="0"/>
      </w:pPr>
    </w:p>
    <w:tbl>
      <w:tblPr>
        <w:tblW w:type="auto" w:w="0"/>
        <w:jc w:val="center"/>
        <w:tblLayout w:type="fixed"/>
        <w:tblLook w:firstColumn="1" w:firstRow="1" w:lastColumn="0" w:lastRow="0" w:noHBand="0" w:noVBand="1" w:val="04A0"/>
      </w:tblPr>
      <w:tblGrid>
        <w:gridCol w:w="10080"/>
      </w:tblGrid>
      <w:tr>
        <w:tc>
          <w:tcPr>
            <w:tcW w:type="dxa" w:w="10368"/>
            <w:shd w:fill="EAF5F4"/>
            <w:tcMar>
              <w:top w:w="100" w:type="dxa"/>
              <w:start w:w="120" w:type="dxa"/>
              <w:bottom w:w="100" w:type="dxa"/>
              <w:end w:w="120" w:type="dxa"/>
            </w:tcMar>
            <w:tcBorders>
              <w:top w:val="single" w:sz="8" w:color="6FA8A4"/>
              <w:left w:val="single" w:sz="8" w:color="6FA8A4"/>
              <w:bottom w:val="single" w:sz="8" w:color="6FA8A4"/>
              <w:right w:val="single" w:sz="8" w:color="6FA8A4"/>
            </w:tcBorders>
          </w:tcPr>
          <w:p>
            <w:pPr>
              <w:spacing w:after="0"/>
            </w:pPr>
            <w:r>
              <w:rPr>
                <w:rFonts w:ascii="Aptos" w:hAnsi="Aptos"/>
                <w:b/>
                <w:color w:val="17365D"/>
                <w:sz w:val="19"/>
              </w:rPr>
              <w:t xml:space="preserve">Quick reminder: </w:t>
            </w:r>
            <w:r>
              <w:rPr>
                <w:rFonts w:ascii="Aptos" w:hAnsi="Aptos"/>
                <w:color w:val="273746"/>
                <w:sz w:val="19"/>
              </w:rPr>
              <w:t>Accommodations and modifications are not the same thing. Accommodations change how a student accesses learning; modifications change what is expected.</w:t>
            </w:r>
          </w:p>
        </w:tc>
      </w:tr>
    </w:tbl>
    <w:p>
      <w:r>
        <w:br w:type="page"/>
      </w:r>
    </w:p>
    <w:p>
      <w:pPr>
        <w:spacing w:after="40"/>
      </w:pPr>
      <w:r>
        <w:rPr>
          <w:rFonts w:ascii="Aptos" w:hAnsi="Aptos"/>
          <w:b/>
          <w:color w:val="17365D"/>
          <w:sz w:val="36"/>
        </w:rPr>
        <w:t>5. Behavior, Discipline &amp; Dispute Terms</w:t>
      </w:r>
    </w:p>
    <w:p>
      <w:pPr>
        <w:spacing w:after="100"/>
      </w:pPr>
      <w:r>
        <w:rPr>
          <w:rFonts w:ascii="Aptos" w:hAnsi="Aptos"/>
          <w:i/>
          <w:color w:val="6FA8A4"/>
          <w:sz w:val="21"/>
        </w:rPr>
        <w:t>These are common when behavior or discipline becomes a concern</w:t>
      </w:r>
    </w:p>
    <w:tbl>
      <w:tblPr>
        <w:tblW w:type="auto" w:w="0"/>
        <w:jc w:val="center"/>
        <w:tblLayout w:type="fixed"/>
        <w:tblLook w:firstColumn="1" w:firstRow="1" w:lastColumn="0" w:lastRow="0" w:noHBand="0" w:noVBand="1" w:val="04A0"/>
      </w:tblPr>
      <w:tblGrid>
        <w:gridCol w:w="10080"/>
      </w:tblGrid>
      <w:tr>
        <w:tc>
          <w:tcPr>
            <w:tcW w:type="dxa" w:w="10368"/>
            <w:shd w:fill="6FA8A4"/>
            <w:tcMar>
              <w:top w:w="0" w:type="dxa"/>
              <w:start w:w="0" w:type="dxa"/>
              <w:bottom w:w="0" w:type="dxa"/>
              <w:end w:w="0" w:type="dxa"/>
            </w:tcMar>
          </w:tcPr>
          <w:p>
            <w:pPr>
              <w:spacing w:after="0"/>
            </w:pPr>
          </w:p>
        </w:tc>
      </w:tr>
    </w:tbl>
    <w:p>
      <w:pPr>
        <w:spacing w:after="20"/>
      </w:pPr>
    </w:p>
    <w:tbl>
      <w:tblPr>
        <w:tblW w:type="auto" w:w="0"/>
        <w:jc w:val="center"/>
        <w:tblLayout w:type="fixed"/>
        <w:tblLook w:firstColumn="1" w:firstRow="1" w:lastColumn="0" w:lastRow="0" w:noHBand="0" w:noVBand="1" w:val="04A0"/>
      </w:tblPr>
      <w:tblGrid>
        <w:gridCol w:w="1872"/>
        <w:gridCol w:w="3024"/>
        <w:gridCol w:w="5184"/>
      </w:tblGrid>
      <w:tr>
        <w:trPr>
          <w:tblHeader w:val="true"/>
        </w:trPr>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Acronym / term</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What it stands for</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What it means for parents</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FBA</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Functional Behavioral Assessment</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 process for figuring out why a behavior is happening and what may help.</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BIP</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Behavior Intervention Plan</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 plan that describes strategies and supports to address behavior.</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PBIS</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Positive Behavioral Interventions and Supports</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 framework focused on teaching and reinforcing positive behavior.</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MDR</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Manifestation Determination Review</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 meeting to decide whether behavior is related to the disability or a failure to implement the IEP.</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ISS</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In-School Suspension</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 disciplinary removal that may or may not count toward special education discipline timelines.</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OSS</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Out-of-School Suspension</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 disciplinary removal from school.</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Stay Put</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Stay Put / Pendency</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 rule that may keep a student in the current placement during certain disputes.</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ODR</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Office for Dispute Resolution</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Pennsylvania's system for mediation, facilitation, and due process.</w:t>
            </w:r>
          </w:p>
        </w:tc>
      </w:tr>
    </w:tbl>
    <w:p>
      <w:pPr>
        <w:spacing w:after="0"/>
      </w:pPr>
    </w:p>
    <w:tbl>
      <w:tblPr>
        <w:tblW w:type="auto" w:w="0"/>
        <w:jc w:val="center"/>
        <w:tblLayout w:type="fixed"/>
        <w:tblLook w:firstColumn="1" w:firstRow="1" w:lastColumn="0" w:lastRow="0" w:noHBand="0" w:noVBand="1" w:val="04A0"/>
      </w:tblPr>
      <w:tblGrid>
        <w:gridCol w:w="10080"/>
      </w:tblGrid>
      <w:tr>
        <w:tc>
          <w:tcPr>
            <w:tcW w:type="dxa" w:w="10368"/>
            <w:shd w:fill="EAF5F4"/>
            <w:tcMar>
              <w:top w:w="100" w:type="dxa"/>
              <w:start w:w="120" w:type="dxa"/>
              <w:bottom w:w="100" w:type="dxa"/>
              <w:end w:w="120" w:type="dxa"/>
            </w:tcMar>
            <w:tcBorders>
              <w:top w:val="single" w:sz="8" w:color="6FA8A4"/>
              <w:left w:val="single" w:sz="8" w:color="6FA8A4"/>
              <w:bottom w:val="single" w:sz="8" w:color="6FA8A4"/>
              <w:right w:val="single" w:sz="8" w:color="6FA8A4"/>
            </w:tcBorders>
          </w:tcPr>
          <w:p>
            <w:pPr>
              <w:spacing w:after="0"/>
            </w:pPr>
            <w:r>
              <w:rPr>
                <w:rFonts w:ascii="Aptos" w:hAnsi="Aptos"/>
                <w:b/>
                <w:color w:val="17365D"/>
                <w:sz w:val="19"/>
              </w:rPr>
              <w:t xml:space="preserve">Watch for patterns: </w:t>
            </w:r>
            <w:r>
              <w:rPr>
                <w:rFonts w:ascii="Aptos" w:hAnsi="Aptos"/>
                <w:color w:val="273746"/>
                <w:sz w:val="19"/>
              </w:rPr>
              <w:t>If your child is being suspended repeatedly, terms like FBA, BIP, MDR, and change of placement become especially important.</w:t>
            </w:r>
          </w:p>
        </w:tc>
      </w:tr>
    </w:tbl>
    <w:p>
      <w:r>
        <w:br w:type="page"/>
      </w:r>
    </w:p>
    <w:p>
      <w:pPr>
        <w:spacing w:after="40"/>
      </w:pPr>
      <w:r>
        <w:rPr>
          <w:rFonts w:ascii="Aptos" w:hAnsi="Aptos"/>
          <w:b/>
          <w:color w:val="17365D"/>
          <w:sz w:val="36"/>
        </w:rPr>
        <w:t>6. Additional IEP Vocabulary &amp; Acronyms</w:t>
      </w:r>
    </w:p>
    <w:p>
      <w:pPr>
        <w:spacing w:after="100"/>
      </w:pPr>
      <w:r>
        <w:rPr>
          <w:rFonts w:ascii="Aptos" w:hAnsi="Aptos"/>
          <w:i/>
          <w:color w:val="6FA8A4"/>
          <w:sz w:val="21"/>
        </w:rPr>
        <w:t>Important terms that help parents understand rights, planning, and school decision-making</w:t>
      </w:r>
    </w:p>
    <w:tbl>
      <w:tblPr>
        <w:tblW w:type="auto" w:w="0"/>
        <w:jc w:val="center"/>
        <w:tblLayout w:type="fixed"/>
        <w:tblLook w:firstColumn="1" w:firstRow="1" w:lastColumn="0" w:lastRow="0" w:noHBand="0" w:noVBand="1" w:val="04A0"/>
      </w:tblPr>
      <w:tblGrid>
        <w:gridCol w:w="10080"/>
      </w:tblGrid>
      <w:tr>
        <w:tc>
          <w:tcPr>
            <w:tcW w:type="dxa" w:w="10368"/>
            <w:shd w:fill="6FA8A4"/>
            <w:tcMar>
              <w:top w:w="0" w:type="dxa"/>
              <w:start w:w="0" w:type="dxa"/>
              <w:bottom w:w="0" w:type="dxa"/>
              <w:end w:w="0" w:type="dxa"/>
            </w:tcMar>
          </w:tcPr>
          <w:p>
            <w:pPr>
              <w:spacing w:after="0"/>
            </w:pPr>
          </w:p>
        </w:tc>
      </w:tr>
    </w:tbl>
    <w:p>
      <w:pPr>
        <w:spacing w:after="20"/>
      </w:pPr>
    </w:p>
    <w:tbl>
      <w:tblPr>
        <w:tblW w:type="auto" w:w="0"/>
        <w:jc w:val="center"/>
        <w:tblLayout w:type="fixed"/>
        <w:tblLook w:firstColumn="1" w:firstRow="1" w:lastColumn="0" w:lastRow="0" w:noHBand="0" w:noVBand="1" w:val="04A0"/>
      </w:tblPr>
      <w:tblGrid>
        <w:gridCol w:w="1872"/>
        <w:gridCol w:w="3024"/>
        <w:gridCol w:w="5184"/>
      </w:tblGrid>
      <w:tr>
        <w:trPr>
          <w:tblHeader w:val="true"/>
        </w:trPr>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Term / acronym</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What it means / stands for</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Why it matters for parents</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Child Find</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The school's duty to identify, locate, and evaluate children who may have disabilities.</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Parents do not have to wait for a child to fail before raising concerns or requesting an evaluation.</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Procedural Safeguards</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The notice explaining parent and student rights under special education law.</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It covers evaluations, consent, records, disputes, mediation, due process, complaints, and other protections.</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Consent</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 parent's informed written agreement to certain school actions.</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Ask what you are agreeing to and what happens if you decline.</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IEP Team</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The group that develops and reviews the IEP, including the parent and required school members.</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Parents are members of the IEP team and should be able to participate meaningfully.</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LEA Representative / LEA Rep</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 school representative who knows the curriculum, available resources, and the district's ability to provide services.</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This person helps ensure IEP decisions can be implemented.</w:t>
            </w:r>
          </w:p>
        </w:tc>
      </w:tr>
    </w:tbl>
    <w:p>
      <w:pPr>
        <w:spacing w:after="0"/>
      </w:pPr>
    </w:p>
    <w:tbl>
      <w:tblPr>
        <w:tblW w:type="auto" w:w="0"/>
        <w:jc w:val="center"/>
        <w:tblLayout w:type="fixed"/>
        <w:tblLook w:firstColumn="1" w:firstRow="1" w:lastColumn="0" w:lastRow="0" w:noHBand="0" w:noVBand="1" w:val="04A0"/>
      </w:tblPr>
      <w:tblGrid>
        <w:gridCol w:w="10080"/>
      </w:tblGrid>
      <w:tr>
        <w:tc>
          <w:tcPr>
            <w:tcW w:type="dxa" w:w="10368"/>
            <w:shd w:fill="EAF5F4"/>
            <w:tcMar>
              <w:top w:w="100" w:type="dxa"/>
              <w:start w:w="120" w:type="dxa"/>
              <w:bottom w:w="100" w:type="dxa"/>
              <w:end w:w="120" w:type="dxa"/>
            </w:tcMar>
            <w:tcBorders>
              <w:top w:val="single" w:sz="8" w:color="6FA8A4"/>
              <w:left w:val="single" w:sz="8" w:color="6FA8A4"/>
              <w:bottom w:val="single" w:sz="8" w:color="6FA8A4"/>
              <w:right w:val="single" w:sz="8" w:color="6FA8A4"/>
            </w:tcBorders>
          </w:tcPr>
          <w:p>
            <w:pPr>
              <w:spacing w:after="0"/>
            </w:pPr>
            <w:r>
              <w:rPr>
                <w:rFonts w:ascii="Aptos" w:hAnsi="Aptos"/>
                <w:b/>
                <w:color w:val="17365D"/>
                <w:sz w:val="19"/>
              </w:rPr>
              <w:t xml:space="preserve">Parent tip: </w:t>
            </w:r>
            <w:r>
              <w:rPr>
                <w:rFonts w:ascii="Aptos" w:hAnsi="Aptos"/>
                <w:color w:val="273746"/>
                <w:sz w:val="19"/>
              </w:rPr>
              <w:t>Parents are members of the IEP team. Ask questions, request explanations in plain language, and make sure your concerns and the data being discussed are part of the team conversation.</w:t>
            </w:r>
          </w:p>
        </w:tc>
      </w:tr>
    </w:tbl>
    <w:p>
      <w:r>
        <w:br w:type="page"/>
      </w:r>
    </w:p>
    <w:p>
      <w:pPr>
        <w:spacing w:after="40"/>
      </w:pPr>
      <w:r>
        <w:rPr>
          <w:rFonts w:ascii="Aptos" w:hAnsi="Aptos"/>
          <w:b/>
          <w:color w:val="17365D"/>
          <w:sz w:val="36"/>
        </w:rPr>
        <w:t>6. Additional IEP Vocabulary &amp; Acronyms (continued)</w:t>
      </w:r>
    </w:p>
    <w:p>
      <w:pPr>
        <w:spacing w:after="100"/>
      </w:pPr>
      <w:r>
        <w:rPr>
          <w:rFonts w:ascii="Aptos" w:hAnsi="Aptos"/>
          <w:i/>
          <w:color w:val="6FA8A4"/>
          <w:sz w:val="21"/>
        </w:rPr>
        <w:t>Goals, placement, progress, communication, and dispute-resolution terms</w:t>
      </w:r>
    </w:p>
    <w:tbl>
      <w:tblPr>
        <w:tblW w:type="auto" w:w="0"/>
        <w:jc w:val="center"/>
        <w:tblLayout w:type="fixed"/>
        <w:tblLook w:firstColumn="1" w:firstRow="1" w:lastColumn="0" w:lastRow="0" w:noHBand="0" w:noVBand="1" w:val="04A0"/>
      </w:tblPr>
      <w:tblGrid>
        <w:gridCol w:w="10080"/>
      </w:tblGrid>
      <w:tr>
        <w:tc>
          <w:tcPr>
            <w:tcW w:type="dxa" w:w="10368"/>
            <w:shd w:fill="6FA8A4"/>
            <w:tcMar>
              <w:top w:w="0" w:type="dxa"/>
              <w:start w:w="0" w:type="dxa"/>
              <w:bottom w:w="0" w:type="dxa"/>
              <w:end w:w="0" w:type="dxa"/>
            </w:tcMar>
          </w:tcPr>
          <w:p>
            <w:pPr>
              <w:spacing w:after="0"/>
            </w:pPr>
          </w:p>
        </w:tc>
      </w:tr>
    </w:tbl>
    <w:p>
      <w:pPr>
        <w:spacing w:after="20"/>
      </w:pPr>
    </w:p>
    <w:tbl>
      <w:tblPr>
        <w:tblW w:type="auto" w:w="0"/>
        <w:jc w:val="center"/>
        <w:tblLayout w:type="fixed"/>
        <w:tblLook w:firstColumn="1" w:firstRow="1" w:lastColumn="0" w:lastRow="0" w:noHBand="0" w:noVBand="1" w:val="04A0"/>
      </w:tblPr>
      <w:tblGrid>
        <w:gridCol w:w="1872"/>
        <w:gridCol w:w="3024"/>
        <w:gridCol w:w="5184"/>
      </w:tblGrid>
      <w:tr>
        <w:trPr>
          <w:tblHeader w:val="true"/>
        </w:trPr>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Term / acronym</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What it means / stands for</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Why it matters for parents</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Placement</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The educational setting and service arrangement in which the IEP is carried out.</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Placement should follow from the student's needs and LRE requirements.</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Baseline</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A clear starting point showing the student's current level of performance.</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It helps the team measure meaningful growth over time.</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Measurable Annual Goal</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An IEP goal written so the team can objectively determine whether expected progress occurred.</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Look for the skill, conditions, performance level, and how progress will be measured.</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Progress Monitoring</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Regular collection of data to determine whether a student is making progress.</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Parents should receive enough data to know whether goals and services are working.</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Due Process Hearing</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A formal legal hearing used to resolve certain special education disputes.</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It is more formal than a meeting or mediation; families may want legal advice before pursuing it.</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Mediation</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A voluntary process in which a neutral mediator helps the family and school try to reach agreement.</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It may resolve disagreements without a due process hearing if both sides participate.</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Compensatory Education / Comp Ed</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Additional educational services that may be a remedy for a period when appropriate services were denied.</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Whether it is owed and how much is highly fact-specific.</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6"/>
              </w:rPr>
              <w:t>AAC</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Augmentative and Alternative Communication.</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6"/>
              </w:rPr>
              <w:t>Picture systems, boards, speech-generating devices, or other methods that support communication.</w:t>
            </w:r>
          </w:p>
        </w:tc>
      </w:tr>
    </w:tbl>
    <w:p>
      <w:pPr>
        <w:spacing w:after="0"/>
      </w:pPr>
    </w:p>
    <w:tbl>
      <w:tblPr>
        <w:tblW w:type="auto" w:w="0"/>
        <w:jc w:val="center"/>
        <w:tblLayout w:type="fixed"/>
        <w:tblLook w:firstColumn="1" w:firstRow="1" w:lastColumn="0" w:lastRow="0" w:noHBand="0" w:noVBand="1" w:val="04A0"/>
      </w:tblPr>
      <w:tblGrid>
        <w:gridCol w:w="10080"/>
      </w:tblGrid>
      <w:tr>
        <w:tc>
          <w:tcPr>
            <w:tcW w:type="dxa" w:w="10368"/>
            <w:shd w:fill="EAF5F4"/>
            <w:tcMar>
              <w:top w:w="100" w:type="dxa"/>
              <w:start w:w="120" w:type="dxa"/>
              <w:bottom w:w="100" w:type="dxa"/>
              <w:end w:w="120" w:type="dxa"/>
            </w:tcMar>
            <w:tcBorders>
              <w:top w:val="single" w:sz="8" w:color="6FA8A4"/>
              <w:left w:val="single" w:sz="8" w:color="6FA8A4"/>
              <w:bottom w:val="single" w:sz="8" w:color="6FA8A4"/>
              <w:right w:val="single" w:sz="8" w:color="6FA8A4"/>
            </w:tcBorders>
          </w:tcPr>
          <w:p>
            <w:pPr>
              <w:spacing w:after="0"/>
            </w:pPr>
            <w:r>
              <w:rPr>
                <w:rFonts w:ascii="Aptos" w:hAnsi="Aptos"/>
                <w:b/>
                <w:color w:val="17365D"/>
                <w:sz w:val="19"/>
              </w:rPr>
              <w:t xml:space="preserve">Parent tip: </w:t>
            </w:r>
            <w:r>
              <w:rPr>
                <w:rFonts w:ascii="Aptos" w:hAnsi="Aptos"/>
                <w:color w:val="273746"/>
                <w:sz w:val="19"/>
              </w:rPr>
              <w:t>Ask for data, not just impressions. Present levels, baselines, goal criteria, progress-monitoring data, and evaluation results should help show whether the IEP is working.</w:t>
            </w:r>
          </w:p>
        </w:tc>
      </w:tr>
    </w:tbl>
    <w:p>
      <w:r>
        <w:br w:type="page"/>
      </w:r>
    </w:p>
    <w:p>
      <w:pPr>
        <w:spacing w:after="40"/>
      </w:pPr>
      <w:r>
        <w:rPr>
          <w:rFonts w:ascii="Aptos" w:hAnsi="Aptos"/>
          <w:b/>
          <w:color w:val="17365D"/>
          <w:sz w:val="36"/>
        </w:rPr>
        <w:t>7. Testing, Transition &amp; Pennsylvania Terms</w:t>
      </w:r>
    </w:p>
    <w:p>
      <w:pPr>
        <w:spacing w:after="100"/>
      </w:pPr>
      <w:r>
        <w:rPr>
          <w:rFonts w:ascii="Aptos" w:hAnsi="Aptos"/>
          <w:i/>
          <w:color w:val="6FA8A4"/>
          <w:sz w:val="21"/>
        </w:rPr>
        <w:t>A few more terms families often see in meetings and school documents</w:t>
      </w:r>
    </w:p>
    <w:tbl>
      <w:tblPr>
        <w:tblW w:type="auto" w:w="0"/>
        <w:jc w:val="center"/>
        <w:tblLayout w:type="fixed"/>
        <w:tblLook w:firstColumn="1" w:firstRow="1" w:lastColumn="0" w:lastRow="0" w:noHBand="0" w:noVBand="1" w:val="04A0"/>
      </w:tblPr>
      <w:tblGrid>
        <w:gridCol w:w="10080"/>
      </w:tblGrid>
      <w:tr>
        <w:tc>
          <w:tcPr>
            <w:tcW w:type="dxa" w:w="10368"/>
            <w:shd w:fill="6FA8A4"/>
            <w:tcMar>
              <w:top w:w="0" w:type="dxa"/>
              <w:start w:w="0" w:type="dxa"/>
              <w:bottom w:w="0" w:type="dxa"/>
              <w:end w:w="0" w:type="dxa"/>
            </w:tcMar>
          </w:tcPr>
          <w:p>
            <w:pPr>
              <w:spacing w:after="0"/>
            </w:pPr>
          </w:p>
        </w:tc>
      </w:tr>
    </w:tbl>
    <w:p>
      <w:pPr>
        <w:spacing w:after="20"/>
      </w:pPr>
    </w:p>
    <w:tbl>
      <w:tblPr>
        <w:tblW w:type="auto" w:w="0"/>
        <w:jc w:val="center"/>
        <w:tblLayout w:type="fixed"/>
        <w:tblLook w:firstColumn="1" w:firstRow="1" w:lastColumn="0" w:lastRow="0" w:noHBand="0" w:noVBand="1" w:val="04A0"/>
      </w:tblPr>
      <w:tblGrid>
        <w:gridCol w:w="1872"/>
        <w:gridCol w:w="3024"/>
        <w:gridCol w:w="5184"/>
      </w:tblGrid>
      <w:tr>
        <w:trPr>
          <w:tblHeader w:val="true"/>
        </w:trPr>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Acronym / term</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What it stands for</w:t>
            </w:r>
          </w:p>
        </w:tc>
        <w:tc>
          <w:tcPr>
            <w:tcW w:type="dxa" w:w="3456"/>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What it means for parents</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PSSA</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Pennsylvania System of School Assessment</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Pennsylvania's state tests.</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Keystone</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Keystone Exams</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Pennsylvania end-of-course assessments used in some subjects.</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FERPA</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Family Educational Rights and Privacy Act</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The federal law that gives parents rights related to student education records.</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CPS</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State Complaint</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 formal complaint process used when a parent believes the school violated special education rules.</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Postsecondary</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Postsecondary Goals</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Goals for life after high school that appear in transition planning.</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BSE</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Pennsylvania Bureau of Special Education.</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The state office responsible for special education oversight, guidance, and monitoring.</w:t>
            </w:r>
          </w:p>
        </w:tc>
      </w:tr>
      <w:tr>
        <w:tc>
          <w:tcPr>
            <w:tcW w:type="dxa" w:w="1872"/>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IU</w:t>
            </w:r>
          </w:p>
        </w:tc>
        <w:tc>
          <w:tcPr>
            <w:tcW w:type="dxa" w:w="302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Intermediate Unit.</w:t>
            </w:r>
          </w:p>
        </w:tc>
        <w:tc>
          <w:tcPr>
            <w:tcW w:type="dxa" w:w="5184"/>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 Pennsylvania regional education agency that may provide services and supports to schools and families.</w:t>
            </w:r>
          </w:p>
        </w:tc>
      </w:tr>
      <w:tr>
        <w:tc>
          <w:tcPr>
            <w:tcW w:type="dxa" w:w="1872"/>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UDL</w:t>
            </w:r>
          </w:p>
        </w:tc>
        <w:tc>
          <w:tcPr>
            <w:tcW w:type="dxa" w:w="302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Universal Design for Learning.</w:t>
            </w:r>
          </w:p>
        </w:tc>
        <w:tc>
          <w:tcPr>
            <w:tcW w:type="dxa" w:w="5184"/>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An instructional framework offering multiple ways to engage, access information, and show learning.</w:t>
            </w:r>
          </w:p>
        </w:tc>
      </w:tr>
    </w:tbl>
    <w:p>
      <w:pPr>
        <w:spacing w:after="0"/>
      </w:pPr>
    </w:p>
    <w:tbl>
      <w:tblPr>
        <w:tblW w:type="auto" w:w="0"/>
        <w:jc w:val="center"/>
        <w:tblLayout w:type="fixed"/>
        <w:tblLook w:firstColumn="1" w:firstRow="1" w:lastColumn="0" w:lastRow="0" w:noHBand="0" w:noVBand="1" w:val="04A0"/>
      </w:tblPr>
      <w:tblGrid>
        <w:gridCol w:w="10080"/>
      </w:tblGrid>
      <w:tr>
        <w:tc>
          <w:tcPr>
            <w:tcW w:type="dxa" w:w="10368"/>
            <w:shd w:fill="EAF5F4"/>
            <w:tcMar>
              <w:top w:w="100" w:type="dxa"/>
              <w:start w:w="120" w:type="dxa"/>
              <w:bottom w:w="100" w:type="dxa"/>
              <w:end w:w="120" w:type="dxa"/>
            </w:tcMar>
            <w:tcBorders>
              <w:top w:val="single" w:sz="8" w:color="6FA8A4"/>
              <w:left w:val="single" w:sz="8" w:color="6FA8A4"/>
              <w:bottom w:val="single" w:sz="8" w:color="6FA8A4"/>
              <w:right w:val="single" w:sz="8" w:color="6FA8A4"/>
            </w:tcBorders>
          </w:tcPr>
          <w:p>
            <w:pPr>
              <w:spacing w:after="0"/>
            </w:pPr>
            <w:r>
              <w:rPr>
                <w:rFonts w:ascii="Aptos" w:hAnsi="Aptos"/>
                <w:b/>
                <w:color w:val="17365D"/>
                <w:sz w:val="19"/>
              </w:rPr>
              <w:t xml:space="preserve">Pennsylvania note: </w:t>
            </w:r>
            <w:r>
              <w:rPr>
                <w:rFonts w:ascii="Aptos" w:hAnsi="Aptos"/>
                <w:color w:val="273746"/>
                <w:sz w:val="19"/>
              </w:rPr>
              <w:t>NOREP, PSSA, Keystone, ODR, ER, RR, BSE, and Intermediate Units are Pennsylvania-specific. Procedures, forms, and timelines may change, so use current Pennsylvania guidance when needed.</w:t>
            </w:r>
          </w:p>
        </w:tc>
      </w:tr>
    </w:tbl>
    <w:p>
      <w:r>
        <w:br w:type="page"/>
      </w:r>
    </w:p>
    <w:p>
      <w:pPr>
        <w:spacing w:after="40"/>
      </w:pPr>
      <w:r>
        <w:rPr>
          <w:rFonts w:ascii="Aptos" w:hAnsi="Aptos"/>
          <w:b/>
          <w:color w:val="17365D"/>
          <w:sz w:val="36"/>
        </w:rPr>
        <w:t>8. Fast Lookup Page</w:t>
      </w:r>
    </w:p>
    <w:p>
      <w:pPr>
        <w:spacing w:after="100"/>
      </w:pPr>
      <w:r>
        <w:rPr>
          <w:rFonts w:ascii="Aptos" w:hAnsi="Aptos"/>
          <w:i/>
          <w:color w:val="6FA8A4"/>
          <w:sz w:val="21"/>
        </w:rPr>
        <w:t>A quick alphabetical list of common IEP-related acronyms</w:t>
      </w:r>
    </w:p>
    <w:tbl>
      <w:tblPr>
        <w:tblW w:type="auto" w:w="0"/>
        <w:jc w:val="center"/>
        <w:tblLayout w:type="fixed"/>
        <w:tblLook w:firstColumn="1" w:firstRow="1" w:lastColumn="0" w:lastRow="0" w:noHBand="0" w:noVBand="1" w:val="04A0"/>
      </w:tblPr>
      <w:tblGrid>
        <w:gridCol w:w="10080"/>
      </w:tblGrid>
      <w:tr>
        <w:tc>
          <w:tcPr>
            <w:tcW w:type="dxa" w:w="10368"/>
            <w:shd w:fill="6FA8A4"/>
            <w:tcMar>
              <w:top w:w="0" w:type="dxa"/>
              <w:start w:w="0" w:type="dxa"/>
              <w:bottom w:w="0" w:type="dxa"/>
              <w:end w:w="0" w:type="dxa"/>
            </w:tcMar>
          </w:tcPr>
          <w:p>
            <w:pPr>
              <w:spacing w:after="0"/>
            </w:pPr>
          </w:p>
        </w:tc>
      </w:tr>
    </w:tbl>
    <w:p>
      <w:pPr>
        <w:spacing w:after="20"/>
      </w:pPr>
    </w:p>
    <w:tbl>
      <w:tblPr>
        <w:tblW w:type="auto" w:w="0"/>
        <w:jc w:val="center"/>
        <w:tblLayout w:type="fixed"/>
        <w:tblLook w:firstColumn="1" w:firstRow="1" w:lastColumn="0" w:lastRow="0" w:noHBand="0" w:noVBand="1" w:val="04A0"/>
      </w:tblPr>
      <w:tblGrid>
        <w:gridCol w:w="5040"/>
        <w:gridCol w:w="5040"/>
      </w:tblGrid>
      <w:tr>
        <w:trPr>
          <w:tblHeader w:val="true"/>
        </w:trPr>
        <w:tc>
          <w:tcPr>
            <w:tcW w:type="dxa" w:w="5184"/>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Quick lookup</w:t>
            </w:r>
          </w:p>
        </w:tc>
        <w:tc>
          <w:tcPr>
            <w:tcW w:type="dxa" w:w="5184"/>
            <w:shd w:fill="17365D"/>
            <w:tcMar>
              <w:top w:w="90" w:type="dxa"/>
              <w:start w:w="100" w:type="dxa"/>
              <w:bottom w:w="90" w:type="dxa"/>
              <w:end w:w="100" w:type="dxa"/>
            </w:tcMar>
            <w:vAlign w:val="center"/>
            <w:tcBorders>
              <w:top w:val="single" w:sz="4" w:color="FFFFFF"/>
              <w:left w:val="single" w:sz="4" w:color="FFFFFF"/>
              <w:bottom w:val="single" w:sz="4" w:color="FFFFFF"/>
              <w:right w:val="single" w:sz="4" w:color="FFFFFF"/>
            </w:tcBorders>
          </w:tcPr>
          <w:p>
            <w:pPr>
              <w:spacing w:after="0"/>
            </w:pPr>
            <w:r>
              <w:rPr>
                <w:rFonts w:ascii="Aptos" w:hAnsi="Aptos"/>
                <w:b/>
                <w:color w:val="FFFFFF"/>
                <w:sz w:val="18"/>
              </w:rPr>
              <w:t>Quick lookup</w:t>
            </w:r>
          </w:p>
        </w:tc>
      </w:tr>
      <w:tr>
        <w:tc>
          <w:tcPr>
            <w:tcW w:type="dxa" w:w="5040"/>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AAC — Augmentative and Alternative Communication</w:t>
            </w:r>
          </w:p>
        </w:tc>
        <w:tc>
          <w:tcPr>
            <w:tcW w:type="dxa" w:w="5040"/>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AT — Assistive Technology</w:t>
            </w:r>
          </w:p>
        </w:tc>
      </w:tr>
      <w:tr>
        <w:tc>
          <w:tcPr>
            <w:tcW w:type="dxa" w:w="5040"/>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BIP — Behavior Intervention Plan</w:t>
            </w:r>
          </w:p>
        </w:tc>
        <w:tc>
          <w:tcPr>
            <w:tcW w:type="dxa" w:w="5040"/>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BSE — Bureau of Special Education</w:t>
            </w:r>
          </w:p>
        </w:tc>
      </w:tr>
      <w:tr>
        <w:tc>
          <w:tcPr>
            <w:tcW w:type="dxa" w:w="5040"/>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ER — Evaluation Report</w:t>
            </w:r>
          </w:p>
        </w:tc>
        <w:tc>
          <w:tcPr>
            <w:tcW w:type="dxa" w:w="5040"/>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ESY — Extended School Year</w:t>
            </w:r>
          </w:p>
        </w:tc>
      </w:tr>
      <w:tr>
        <w:tc>
          <w:tcPr>
            <w:tcW w:type="dxa" w:w="5040"/>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FAPE — Free Appropriate Public Education</w:t>
            </w:r>
          </w:p>
        </w:tc>
        <w:tc>
          <w:tcPr>
            <w:tcW w:type="dxa" w:w="5040"/>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FBA — Functional Behavioral Assessment</w:t>
            </w:r>
          </w:p>
        </w:tc>
      </w:tr>
      <w:tr>
        <w:tc>
          <w:tcPr>
            <w:tcW w:type="dxa" w:w="5040"/>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FERPA — Family Educational Rights and Privacy Act</w:t>
            </w:r>
          </w:p>
        </w:tc>
        <w:tc>
          <w:tcPr>
            <w:tcW w:type="dxa" w:w="5040"/>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IDEA — Individuals with Disabilities Education Act</w:t>
            </w:r>
          </w:p>
        </w:tc>
      </w:tr>
      <w:tr>
        <w:tc>
          <w:tcPr>
            <w:tcW w:type="dxa" w:w="5040"/>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IEE — Independent Educational Evaluation</w:t>
            </w:r>
          </w:p>
        </w:tc>
        <w:tc>
          <w:tcPr>
            <w:tcW w:type="dxa" w:w="5040"/>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IEP — Individualized Education Program</w:t>
            </w:r>
          </w:p>
        </w:tc>
      </w:tr>
      <w:tr>
        <w:tc>
          <w:tcPr>
            <w:tcW w:type="dxa" w:w="5040"/>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ISS — In-School Suspension</w:t>
            </w:r>
          </w:p>
        </w:tc>
        <w:tc>
          <w:tcPr>
            <w:tcW w:type="dxa" w:w="5040"/>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IU — Intermediate Unit</w:t>
            </w:r>
          </w:p>
        </w:tc>
      </w:tr>
      <w:tr>
        <w:tc>
          <w:tcPr>
            <w:tcW w:type="dxa" w:w="5040"/>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LEA — Local Educational Agency</w:t>
            </w:r>
          </w:p>
        </w:tc>
        <w:tc>
          <w:tcPr>
            <w:tcW w:type="dxa" w:w="5040"/>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LRE — Least Restrictive Environment</w:t>
            </w:r>
          </w:p>
        </w:tc>
      </w:tr>
      <w:tr>
        <w:tc>
          <w:tcPr>
            <w:tcW w:type="dxa" w:w="5040"/>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MDR — Manifestation Determination Review</w:t>
            </w:r>
          </w:p>
        </w:tc>
        <w:tc>
          <w:tcPr>
            <w:tcW w:type="dxa" w:w="5040"/>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MTSS — Multi-Tiered System of Supports</w:t>
            </w:r>
          </w:p>
        </w:tc>
      </w:tr>
      <w:tr>
        <w:tc>
          <w:tcPr>
            <w:tcW w:type="dxa" w:w="5040"/>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NOREP — Notice of Recommended Educational Placement</w:t>
            </w:r>
          </w:p>
        </w:tc>
        <w:tc>
          <w:tcPr>
            <w:tcW w:type="dxa" w:w="5040"/>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ODR — Office for Dispute Resolution</w:t>
            </w:r>
          </w:p>
        </w:tc>
      </w:tr>
      <w:tr>
        <w:tc>
          <w:tcPr>
            <w:tcW w:type="dxa" w:w="5040"/>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OHI — Other Health Impairment</w:t>
            </w:r>
          </w:p>
        </w:tc>
        <w:tc>
          <w:tcPr>
            <w:tcW w:type="dxa" w:w="5040"/>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OSS — Out-of-School Suspension</w:t>
            </w:r>
          </w:p>
        </w:tc>
      </w:tr>
      <w:tr>
        <w:tc>
          <w:tcPr>
            <w:tcW w:type="dxa" w:w="5040"/>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OT — Occupational Therapy</w:t>
            </w:r>
          </w:p>
        </w:tc>
        <w:tc>
          <w:tcPr>
            <w:tcW w:type="dxa" w:w="5040"/>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PLAAFP — Present Levels of Academic Achievement and Functional Performance</w:t>
            </w:r>
          </w:p>
        </w:tc>
      </w:tr>
      <w:tr>
        <w:tc>
          <w:tcPr>
            <w:tcW w:type="dxa" w:w="5040"/>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PT — Physical Therapy</w:t>
            </w:r>
          </w:p>
        </w:tc>
        <w:tc>
          <w:tcPr>
            <w:tcW w:type="dxa" w:w="5040"/>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PSSA — Pennsylvania System of School Assessment</w:t>
            </w:r>
          </w:p>
        </w:tc>
      </w:tr>
      <w:tr>
        <w:tc>
          <w:tcPr>
            <w:tcW w:type="dxa" w:w="5040"/>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PTE — Permission to Evaluate</w:t>
            </w:r>
          </w:p>
        </w:tc>
        <w:tc>
          <w:tcPr>
            <w:tcW w:type="dxa" w:w="5040"/>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PWN — Prior Written Notice</w:t>
            </w:r>
          </w:p>
        </w:tc>
      </w:tr>
      <w:tr>
        <w:tc>
          <w:tcPr>
            <w:tcW w:type="dxa" w:w="5040"/>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RR — Reevaluation Report</w:t>
            </w:r>
          </w:p>
        </w:tc>
        <w:tc>
          <w:tcPr>
            <w:tcW w:type="dxa" w:w="5040"/>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RTI — Response to Intervention</w:t>
            </w:r>
          </w:p>
        </w:tc>
      </w:tr>
      <w:tr>
        <w:tc>
          <w:tcPr>
            <w:tcW w:type="dxa" w:w="5040"/>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SDI — Specially Designed Instruction</w:t>
            </w:r>
          </w:p>
        </w:tc>
        <w:tc>
          <w:tcPr>
            <w:tcW w:type="dxa" w:w="5040"/>
            <w:shd w:fill="F8F0E5"/>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SLD — Specific Learning Disability</w:t>
            </w:r>
          </w:p>
        </w:tc>
      </w:tr>
      <w:tr>
        <w:tc>
          <w:tcPr>
            <w:tcW w:type="dxa" w:w="5040"/>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color w:val="17365D"/>
                <w:sz w:val="17"/>
              </w:rPr>
              <w:t>SLP — Speech-Language Pathologist</w:t>
            </w:r>
          </w:p>
        </w:tc>
        <w:tc>
          <w:tcPr>
            <w:tcW w:type="dxa" w:w="5040"/>
            <w:shd w:fill="EAF5F4"/>
            <w:tcMar>
              <w:top w:w="90" w:type="dxa"/>
              <w:start w:w="100" w:type="dxa"/>
              <w:bottom w:w="90" w:type="dxa"/>
              <w:end w:w="100" w:type="dxa"/>
            </w:tcMar>
            <w:vAlign w:val="top"/>
            <w:tcBorders>
              <w:top w:val="single" w:sz="3" w:color="D8E1E8"/>
              <w:left w:val="single" w:sz="3" w:color="D8E1E8"/>
              <w:bottom w:val="single" w:sz="3" w:color="D8E1E8"/>
              <w:right w:val="single" w:sz="3" w:color="D8E1E8"/>
            </w:tcBorders>
          </w:tcPr>
          <w:p>
            <w:pPr>
              <w:spacing w:after="0"/>
            </w:pPr>
            <w:r>
              <w:rPr>
                <w:rFonts w:ascii="Aptos" w:hAnsi="Aptos"/>
                <w:b w:val="0"/>
                <w:color w:val="273746"/>
                <w:sz w:val="17"/>
              </w:rPr>
              <w:t>UDL — Universal Design for Learning</w:t>
            </w:r>
          </w:p>
        </w:tc>
      </w:tr>
    </w:tbl>
    <w:p>
      <w:pPr>
        <w:spacing w:after="0"/>
      </w:pPr>
    </w:p>
    <w:p>
      <w:pPr>
        <w:spacing w:after="40"/>
      </w:pPr>
    </w:p>
    <w:tbl>
      <w:tblPr>
        <w:tblW w:type="auto" w:w="0"/>
        <w:jc w:val="center"/>
        <w:tblLayout w:type="fixed"/>
        <w:tblLook w:firstColumn="1" w:firstRow="1" w:lastColumn="0" w:lastRow="0" w:noHBand="0" w:noVBand="1" w:val="04A0"/>
      </w:tblPr>
      <w:tblGrid>
        <w:gridCol w:w="10080"/>
      </w:tblGrid>
      <w:tr>
        <w:tc>
          <w:tcPr>
            <w:tcW w:type="dxa" w:w="10368"/>
            <w:shd w:fill="F8F0E5"/>
            <w:tcMar>
              <w:top w:w="100" w:type="dxa"/>
              <w:start w:w="120" w:type="dxa"/>
              <w:bottom w:w="100" w:type="dxa"/>
              <w:end w:w="120" w:type="dxa"/>
            </w:tcMar>
            <w:tcBorders>
              <w:top w:val="single" w:sz="8" w:color="6FA8A4"/>
              <w:left w:val="single" w:sz="8" w:color="6FA8A4"/>
              <w:bottom w:val="single" w:sz="8" w:color="6FA8A4"/>
              <w:right w:val="single" w:sz="8" w:color="6FA8A4"/>
            </w:tcBorders>
          </w:tcPr>
          <w:p>
            <w:pPr>
              <w:spacing w:after="0"/>
            </w:pPr>
            <w:r>
              <w:rPr>
                <w:rFonts w:ascii="Aptos" w:hAnsi="Aptos"/>
                <w:b/>
                <w:color w:val="17365D"/>
                <w:sz w:val="19"/>
              </w:rPr>
              <w:t xml:space="preserve">Need more than a glossary? </w:t>
            </w:r>
            <w:r>
              <w:rPr>
                <w:rFonts w:ascii="Aptos" w:hAnsi="Aptos"/>
                <w:color w:val="273746"/>
                <w:sz w:val="19"/>
              </w:rPr>
              <w:t>If you want help understanding a IEP, evaluation report, meeting notice, or school proposal, Knot Alone can help you review the documents and identify next steps.</w:t>
            </w:r>
          </w:p>
        </w:tc>
      </w:tr>
    </w:tbl>
    <w:p>
      <w:pPr>
        <w:spacing w:before="240" w:after="40"/>
        <w:jc w:val="center"/>
      </w:pPr>
      <w:r>
        <w:rPr>
          <w:rFonts w:ascii="Aptos" w:hAnsi="Aptos"/>
          <w:b/>
          <w:color w:val="17365D"/>
          <w:sz w:val="24"/>
        </w:rPr>
        <w:t>Knot Alone IEP Advocacy &amp; Coaching</w:t>
      </w:r>
    </w:p>
    <w:p>
      <w:pPr>
        <w:jc w:val="center"/>
      </w:pPr>
      <w:r>
        <w:rPr>
          <w:rFonts w:ascii="Aptos" w:hAnsi="Aptos"/>
          <w:i/>
          <w:color w:val="6FA8A4"/>
          <w:sz w:val="22"/>
        </w:rPr>
        <w:t>Together, we untangle the path forward.</w:t>
      </w:r>
    </w:p>
    <w:sectPr>
      <w:headerReference r:id="rId8" w:type="default"/>
      <w:footerReference r:id="rId9" w:type="default"/>
      <w:pgSz w:h="15840" w:w="12240" w:orient="portrait"/>
      <w:pgMar w:bottom="792" w:top="864" w:left="936" w:right="936"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2d3740"/>
        <w:sz w:val="20"/>
        <w:szCs w:val="20"/>
        <w:u w:val="none"/>
        <w:shd w:fill="auto" w:val="clear"/>
        <w:vertAlign w:val="baseline"/>
      </w:rPr>
    </w:pPr>
    <w:r>
      <w:rPr>
        <w:rFonts w:ascii="Aptos" w:hAnsi="Aptos"/>
        <w:i/>
        <w:color w:val="6E7B87"/>
        <w:sz w:val="15"/>
      </w:rPr>
      <w:t>Parent-friendly guide | Educational information only - not legal advice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2d3740"/>
        <w:sz w:val="20"/>
        <w:szCs w:val="20"/>
        <w:u w:val="none"/>
        <w:shd w:fill="auto" w:val="clear"/>
        <w:vertAlign w:val="baseline"/>
      </w:rPr>
    </w:pPr>
    <w:r>
      <w:rPr>
        <w:rFonts w:ascii="Aptos" w:hAnsi="Aptos"/>
        <w:b/>
        <w:color w:val="4B8E88"/>
        <w:sz w:val="16"/>
      </w:rPr>
      <w:t>KNOT ALONE IEP ADVOCACY &amp; COACHING  |  IEP PARENT GUIDE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2d3740"/>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2L+LKa5/e3fM1ORLuYrs0DcAsg==">CgMxLjA4AHIhMTJPT2N0dW5rV2x6UGdMZXpzek5hLUkzR1RvWTNuT0lp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Knot Alone IEP Advocacy &amp; Coaching</dc:creator>
</cp:coreProperties>
</file>