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4343400" cy="1242230"/>
            <wp:docPr id="1" name="Picture 1" descr="Knot Alone IEP Advocacy &amp; Coaching logo" title="Knot Alone logo"/>
            <wp:cNvGraphicFramePr>
              <a:graphicFrameLocks noChangeAspect="1"/>
            </wp:cNvGraphicFramePr>
            <a:graphic>
              <a:graphicData uri="http://schemas.openxmlformats.org/drawingml/2006/picture">
                <pic:pic>
                  <pic:nvPicPr>
                    <pic:cNvPr id="0" name="knot_alone_logo_rights.png"/>
                    <pic:cNvPicPr/>
                  </pic:nvPicPr>
                  <pic:blipFill>
                    <a:blip r:embed="rId11"/>
                    <a:stretch>
                      <a:fillRect/>
                    </a:stretch>
                  </pic:blipFill>
                  <pic:spPr>
                    <a:xfrm>
                      <a:off x="0" y="0"/>
                      <a:ext cx="4343400" cy="1242230"/>
                    </a:xfrm>
                    <a:prstGeom prst="rect"/>
                  </pic:spPr>
                </pic:pic>
              </a:graphicData>
            </a:graphic>
          </wp:inline>
        </w:drawing>
      </w:r>
    </w:p>
    <w:p>
      <w:pPr>
        <w:spacing w:before="240" w:after="60"/>
        <w:jc w:val="center"/>
      </w:pPr>
      <w:r>
        <w:rPr>
          <w:rFonts w:ascii="Aptos Display" w:hAnsi="Aptos Display"/>
          <w:b/>
          <w:color w:val="173F68"/>
          <w:sz w:val="50"/>
        </w:rPr>
        <w:t>UNTANGLING YOUR</w:t>
        <w:br/>
        <w:t>SPECIAL EDUCATION RIGHTS</w:t>
      </w:r>
    </w:p>
    <w:p>
      <w:pPr>
        <w:spacing w:after="280"/>
        <w:jc w:val="center"/>
      </w:pPr>
      <w:r>
        <w:rPr>
          <w:rFonts w:ascii="Aptos" w:hAnsi="Aptos"/>
          <w:b/>
          <w:i w:val="0"/>
          <w:color w:val="69A7A2"/>
          <w:sz w:val="26"/>
        </w:rPr>
        <w:t>A Parent-Friendly Guide for Pennsylvania Families</w:t>
      </w:r>
    </w:p>
    <w:tbl>
      <w:tblPr>
        <w:tblW w:type="auto" w:w="0"/>
        <w:tblLook w:firstColumn="1" w:firstRow="1" w:lastColumn="0" w:lastRow="0" w:noHBand="0" w:noVBand="1" w:val="04A0"/>
      </w:tblPr>
      <w:tblGrid>
        <w:gridCol w:w="10166"/>
      </w:tblGrid>
      <w:tr>
        <w:trPr>
          <w:cantSplit/>
          <w:tblHeader w:val="true"/>
        </w:trPr>
        <w:tc>
          <w:tcPr>
            <w:tcW w:type="dxa" w:w="10166"/>
            <w:shd w:fill="EAF4F2"/>
            <w:tcBorders>
              <w:top w:val="single" w:sz="8" w:color="69A7A2"/>
              <w:left w:val="single" w:sz="8" w:color="69A7A2"/>
              <w:bottom w:val="single" w:sz="8" w:color="69A7A2"/>
              <w:right w:val="single" w:sz="8" w:color="69A7A2"/>
            </w:tcBorders>
            <w:tcMar>
              <w:top w:w="160" w:type="dxa"/>
              <w:start w:w="180" w:type="dxa"/>
              <w:bottom w:w="160" w:type="dxa"/>
              <w:end w:w="180" w:type="dxa"/>
            </w:tcMar>
          </w:tcPr>
          <w:p>
            <w:pPr>
              <w:jc w:val="center"/>
            </w:pPr>
            <w:r>
              <w:rPr>
                <w:rFonts w:ascii="Aptos" w:hAnsi="Aptos"/>
                <w:b w:val="0"/>
                <w:i w:val="0"/>
                <w:color w:val="2D3740"/>
                <w:sz w:val="21"/>
              </w:rPr>
              <w:t>Special education law can feel like a tangle of forms, timelines, and acronyms. This guide explains the rights parents are most likely to use - in plain language - so you know what questions to ask and what steps you can take.</w:t>
            </w:r>
          </w:p>
        </w:tc>
      </w:tr>
    </w:tbl>
    <w:p/>
    <w:p>
      <w:pPr>
        <w:jc w:val="center"/>
      </w:pPr>
      <w:r>
        <w:rPr>
          <w:rFonts w:ascii="Aptos" w:hAnsi="Aptos"/>
          <w:b w:val="0"/>
          <w:i/>
          <w:color w:val="68737D"/>
          <w:sz w:val="18"/>
        </w:rPr>
        <w:t>Based on Pennsylvania's Procedural Safeguards Notice effective March 1, 2026 and current federal IDEA requirements.</w:t>
      </w:r>
    </w:p>
    <w:p>
      <w:pPr>
        <w:jc w:val="center"/>
      </w:pPr>
      <w:r>
        <w:rPr>
          <w:rFonts w:ascii="Aptos" w:hAnsi="Aptos"/>
          <w:b/>
          <w:i w:val="0"/>
          <w:color w:val="173F68"/>
          <w:sz w:val="18"/>
        </w:rPr>
        <w:t>School-age IDEA guide | Updated August 2026</w:t>
      </w:r>
    </w:p>
    <w:p>
      <w:pPr>
        <w:spacing w:after="320"/>
      </w:pP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F7F1E8"/>
            <w:tcMar>
              <w:top w:w="110" w:type="dxa"/>
              <w:start w:w="150" w:type="dxa"/>
              <w:bottom w:w="110" w:type="dxa"/>
              <w:end w:w="150" w:type="dxa"/>
            </w:tcMar>
            <w:tcBorders>
              <w:top w:val="single" w:sz="10" w:color="D8C4A3"/>
              <w:left w:val="single" w:sz="10" w:color="D8C4A3"/>
              <w:bottom w:val="single" w:sz="10" w:color="D8C4A3"/>
              <w:right w:val="single" w:sz="10" w:color="D8C4A3"/>
            </w:tcBorders>
          </w:tcPr>
          <w:p>
            <w:pPr>
              <w:spacing w:after="40"/>
            </w:pPr>
            <w:r>
              <w:rPr>
                <w:rFonts w:ascii="Aptos" w:hAnsi="Aptos"/>
                <w:b/>
                <w:i w:val="0"/>
                <w:color w:val="173F68"/>
                <w:sz w:val="20"/>
              </w:rPr>
              <w:t xml:space="preserve">Important: </w:t>
            </w:r>
            <w:r>
              <w:rPr>
                <w:rFonts w:ascii="Aptos" w:hAnsi="Aptos"/>
                <w:b w:val="0"/>
                <w:i w:val="0"/>
                <w:color w:val="2D3740"/>
                <w:sz w:val="20"/>
              </w:rPr>
              <w:t>This guide summarizes key rights for parents of school-age children under IDEA and Pennsylvania special education rules. It does not replace the full Procedural Safeguards Notice, individualized advice, or legal counsel.</w:t>
            </w:r>
          </w:p>
        </w:tc>
      </w:tr>
    </w:tbl>
    <w:p>
      <w:pPr>
        <w:spacing w:after="0"/>
      </w:pPr>
    </w:p>
    <w:p>
      <w:pPr>
        <w:jc w:val="center"/>
      </w:pPr>
      <w:r>
        <w:rPr>
          <w:rFonts w:ascii="Aptos" w:hAnsi="Aptos"/>
          <w:b w:val="0"/>
          <w:i/>
          <w:color w:val="69A7A2"/>
          <w:sz w:val="21"/>
        </w:rPr>
        <w:t>Together, we untangle the path forward.</w:t>
      </w:r>
    </w:p>
    <w:p>
      <w:pPr>
        <w:spacing w:before="0" w:after="80"/>
        <w:pageBreakBefore/>
      </w:pPr>
      <w:r>
        <w:rPr>
          <w:rFonts w:ascii="Aptos Display" w:hAnsi="Aptos Display"/>
          <w:b/>
          <w:color w:val="173F68"/>
          <w:sz w:val="36"/>
        </w:rPr>
        <w:t>1. Your Voice Matters</w:t>
      </w:r>
    </w:p>
    <w:p>
      <w:pPr>
        <w:spacing w:after="160"/>
      </w:pPr>
      <w:r>
        <w:rPr>
          <w:rFonts w:ascii="Aptos" w:hAnsi="Aptos"/>
          <w:b w:val="0"/>
          <w:i/>
          <w:color w:val="69A7A2"/>
          <w:sz w:val="21"/>
        </w:rPr>
        <w:t>Parents are members of the special education decision-making process.</w:t>
      </w:r>
    </w:p>
    <w:tbl>
      <w:tblPr>
        <w:tblW w:type="auto" w:w="0"/>
        <w:tblLook w:firstColumn="1" w:firstRow="1" w:lastColumn="0" w:lastRow="0" w:noHBand="0" w:noVBand="1" w:val="04A0"/>
      </w:tblPr>
      <w:tblGrid>
        <w:gridCol w:w="10166"/>
      </w:tblGrid>
      <w:tr>
        <w:trPr>
          <w:trHeight w:val="43" w:hRule="exact"/>
          <w:cantSplit/>
          <w:tblHeader w:val="true"/>
        </w:trPr>
        <w:tc>
          <w:tcPr>
            <w:tcW w:type="dxa" w:w="9648"/>
            <w:shd w:fill="69A7A2"/>
          </w:tcPr>
          <w:p>
            <w:pPr>
              <w:spacing w:after="0"/>
            </w:pPr>
          </w:p>
        </w:tc>
      </w:tr>
    </w:tbl>
    <w:p>
      <w:pPr>
        <w:spacing w:after="0"/>
      </w:pPr>
    </w:p>
    <w:p>
      <w:r>
        <w:rPr>
          <w:rFonts w:ascii="Aptos" w:hAnsi="Aptos"/>
          <w:b w:val="0"/>
          <w:i w:val="0"/>
          <w:color w:val="2D3740"/>
          <w:sz w:val="20"/>
        </w:rPr>
        <w:t>You have the right to participate in decisions about your child's identification, evaluation, eligibility, IEP, educational placement, and access to a Free Appropriate Public Education (FAPE). The school must give you a meaningful opportunity to participate - not simply inform you after decisions are made.</w:t>
      </w:r>
    </w:p>
    <w:p>
      <w:pPr>
        <w:spacing w:before="120" w:after="60"/>
      </w:pPr>
      <w:r>
        <w:rPr>
          <w:rFonts w:ascii="Aptos" w:hAnsi="Aptos"/>
          <w:b/>
          <w:color w:val="69A7A2"/>
          <w:sz w:val="24"/>
        </w:rPr>
        <w:t>At IEP meetings, you can:</w:t>
      </w:r>
    </w:p>
    <w:p>
      <w:pPr>
        <w:pStyle w:val="ListBullet"/>
        <w:spacing w:after="40" w:line="252" w:lineRule="auto"/>
      </w:pPr>
      <w:r>
        <w:rPr>
          <w:rFonts w:ascii="Aptos" w:hAnsi="Aptos"/>
          <w:b w:val="0"/>
          <w:i w:val="0"/>
          <w:color w:val="2D3740"/>
          <w:sz w:val="20"/>
        </w:rPr>
        <w:t>Share your child's strengths, needs, interests, and your concerns for your child's education.</w:t>
      </w:r>
    </w:p>
    <w:p>
      <w:pPr>
        <w:pStyle w:val="ListBullet"/>
        <w:spacing w:after="40" w:line="252" w:lineRule="auto"/>
      </w:pPr>
      <w:r>
        <w:rPr>
          <w:rFonts w:ascii="Aptos" w:hAnsi="Aptos"/>
          <w:b w:val="0"/>
          <w:i w:val="0"/>
          <w:color w:val="2D3740"/>
          <w:sz w:val="20"/>
        </w:rPr>
        <w:t>Ask questions and request explanations when information, data, or recommendations are unclear.</w:t>
      </w:r>
    </w:p>
    <w:p>
      <w:pPr>
        <w:pStyle w:val="ListBullet"/>
        <w:spacing w:after="40" w:line="252" w:lineRule="auto"/>
      </w:pPr>
      <w:r>
        <w:rPr>
          <w:rFonts w:ascii="Aptos" w:hAnsi="Aptos"/>
          <w:b w:val="0"/>
          <w:i w:val="0"/>
          <w:color w:val="2D3740"/>
          <w:sz w:val="20"/>
        </w:rPr>
        <w:t>Bring another person who has knowledge or special expertise about your child, including an advocate or other support person.</w:t>
      </w:r>
    </w:p>
    <w:p>
      <w:pPr>
        <w:pStyle w:val="ListBullet"/>
        <w:spacing w:after="40" w:line="252" w:lineRule="auto"/>
      </w:pPr>
      <w:r>
        <w:rPr>
          <w:rFonts w:ascii="Aptos" w:hAnsi="Aptos"/>
          <w:b w:val="0"/>
          <w:i w:val="0"/>
          <w:color w:val="2D3740"/>
          <w:sz w:val="20"/>
        </w:rPr>
        <w:t>Ask the team to consider outside evaluations, medical information, parent observations, and other relevant information.</w:t>
      </w:r>
    </w:p>
    <w:p>
      <w:pPr>
        <w:pStyle w:val="ListBullet"/>
        <w:spacing w:after="40" w:line="252" w:lineRule="auto"/>
      </w:pPr>
      <w:r>
        <w:rPr>
          <w:rFonts w:ascii="Aptos" w:hAnsi="Aptos"/>
          <w:b w:val="0"/>
          <w:i w:val="0"/>
          <w:color w:val="2D3740"/>
          <w:sz w:val="20"/>
        </w:rPr>
        <w:t>Request an interpreter or another communication method when needed for meaningful participation.</w:t>
      </w:r>
    </w:p>
    <w:p>
      <w:pPr>
        <w:pStyle w:val="ListBullet"/>
        <w:spacing w:after="40" w:line="252" w:lineRule="auto"/>
      </w:pPr>
      <w:r>
        <w:rPr>
          <w:rFonts w:ascii="Aptos" w:hAnsi="Aptos"/>
          <w:b w:val="0"/>
          <w:i w:val="0"/>
          <w:color w:val="2D3740"/>
          <w:sz w:val="20"/>
        </w:rPr>
        <w:t>Request an IEP meeting when you believe the program needs to be reviewed or changed.</w:t>
      </w:r>
    </w:p>
    <w:p>
      <w:pPr>
        <w:spacing w:before="120" w:after="60"/>
      </w:pPr>
      <w:r>
        <w:rPr>
          <w:rFonts w:ascii="Aptos" w:hAnsi="Aptos"/>
          <w:b/>
          <w:color w:val="69A7A2"/>
          <w:sz w:val="24"/>
        </w:rPr>
        <w:t>Who is normally on the IEP team?</w:t>
      </w:r>
    </w:p>
    <w:tbl>
      <w:tblPr>
        <w:tblW w:type="auto" w:w="0"/>
        <w:jc w:val="center"/>
        <w:tblLayout w:type="fixed"/>
        <w:tblLook w:firstColumn="1" w:firstRow="1" w:lastColumn="0" w:lastRow="0" w:noHBand="0" w:noVBand="1" w:val="04A0"/>
      </w:tblPr>
      <w:tblGrid>
        <w:gridCol w:w="5083"/>
        <w:gridCol w:w="5083"/>
      </w:tblGrid>
      <w:tr>
        <w:trPr>
          <w:cantSplit/>
          <w:tblHeader w:val="true"/>
        </w:trPr>
        <w:tc>
          <w:tcPr>
            <w:tcW w:type="dxa" w:w="4723"/>
            <w:shd w:fill="F7F1E8"/>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Parent(s)</w:t>
            </w:r>
          </w:p>
          <w:p>
            <w:pPr>
              <w:spacing w:after="0"/>
            </w:pPr>
            <w:r>
              <w:rPr>
                <w:rFonts w:ascii="Aptos" w:hAnsi="Aptos"/>
                <w:b w:val="0"/>
                <w:i w:val="0"/>
                <w:color w:val="2D3740"/>
                <w:sz w:val="18"/>
              </w:rPr>
              <w:t>You are a required member of the IEP team.</w:t>
            </w:r>
          </w:p>
        </w:tc>
        <w:tc>
          <w:tcPr>
            <w:tcW w:type="dxa" w:w="4723"/>
            <w:shd w:fill="EAF4F2"/>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General educator</w:t>
            </w:r>
          </w:p>
          <w:p>
            <w:pPr>
              <w:spacing w:after="0"/>
            </w:pPr>
            <w:r>
              <w:rPr>
                <w:rFonts w:ascii="Aptos" w:hAnsi="Aptos"/>
                <w:b w:val="0"/>
                <w:i w:val="0"/>
                <w:color w:val="2D3740"/>
                <w:sz w:val="18"/>
              </w:rPr>
              <w:t>At least one, if your child is or may be in general education.</w:t>
            </w:r>
          </w:p>
        </w:tc>
      </w:tr>
      <w:tr>
        <w:trPr>
          <w:cantSplit/>
        </w:trPr>
        <w:tc>
          <w:tcPr>
            <w:tcW w:type="dxa" w:w="4723"/>
            <w:shd w:fill="F7F1E8"/>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Special educator</w:t>
            </w:r>
          </w:p>
          <w:p>
            <w:pPr>
              <w:spacing w:after="0"/>
            </w:pPr>
            <w:r>
              <w:rPr>
                <w:rFonts w:ascii="Aptos" w:hAnsi="Aptos"/>
                <w:b w:val="0"/>
                <w:i w:val="0"/>
                <w:color w:val="2D3740"/>
                <w:sz w:val="18"/>
              </w:rPr>
              <w:t>At least one special education teacher or provider.</w:t>
            </w:r>
          </w:p>
        </w:tc>
        <w:tc>
          <w:tcPr>
            <w:tcW w:type="dxa" w:w="4723"/>
            <w:shd w:fill="EAF4F2"/>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LEA representative</w:t>
            </w:r>
          </w:p>
          <w:p>
            <w:pPr>
              <w:spacing w:after="0"/>
            </w:pPr>
            <w:r>
              <w:rPr>
                <w:rFonts w:ascii="Aptos" w:hAnsi="Aptos"/>
                <w:b w:val="0"/>
                <w:i w:val="0"/>
                <w:color w:val="2D3740"/>
                <w:sz w:val="18"/>
              </w:rPr>
              <w:t>A school representative who understands special education, the general curriculum, and available resources.</w:t>
            </w:r>
          </w:p>
        </w:tc>
      </w:tr>
      <w:tr>
        <w:trPr>
          <w:cantSplit/>
        </w:trPr>
        <w:tc>
          <w:tcPr>
            <w:tcW w:type="dxa" w:w="4723"/>
            <w:shd w:fill="F7F1E8"/>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Evaluation interpreter</w:t>
            </w:r>
          </w:p>
          <w:p>
            <w:pPr>
              <w:spacing w:after="0"/>
            </w:pPr>
            <w:r>
              <w:rPr>
                <w:rFonts w:ascii="Aptos" w:hAnsi="Aptos"/>
                <w:b w:val="0"/>
                <w:i w:val="0"/>
                <w:color w:val="2D3740"/>
                <w:sz w:val="18"/>
              </w:rPr>
              <w:t>Someone who can explain the instructional meaning of evaluation results.</w:t>
            </w:r>
          </w:p>
        </w:tc>
        <w:tc>
          <w:tcPr>
            <w:tcW w:type="dxa" w:w="4723"/>
            <w:shd w:fill="EAF4F2"/>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Others / student</w:t>
            </w:r>
          </w:p>
          <w:p>
            <w:pPr>
              <w:spacing w:after="0"/>
            </w:pPr>
            <w:r>
              <w:rPr>
                <w:rFonts w:ascii="Aptos" w:hAnsi="Aptos"/>
                <w:b w:val="0"/>
                <w:i w:val="0"/>
                <w:color w:val="2D3740"/>
                <w:sz w:val="18"/>
              </w:rPr>
              <w:t>Others with knowledge or expertise may be invited. The student participates when appropriate and for transition planning.</w:t>
            </w:r>
          </w:p>
        </w:tc>
      </w:tr>
    </w:tbl>
    <w:p>
      <w:pPr>
        <w:spacing w:after="0"/>
      </w:pP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F7F1E8"/>
            <w:tcMar>
              <w:top w:w="110" w:type="dxa"/>
              <w:start w:w="150" w:type="dxa"/>
              <w:bottom w:w="110" w:type="dxa"/>
              <w:end w:w="150" w:type="dxa"/>
            </w:tcMar>
            <w:tcBorders>
              <w:top w:val="single" w:sz="10" w:color="D8C4A3"/>
              <w:left w:val="single" w:sz="10" w:color="D8C4A3"/>
              <w:bottom w:val="single" w:sz="10" w:color="D8C4A3"/>
              <w:right w:val="single" w:sz="10" w:color="D8C4A3"/>
            </w:tcBorders>
          </w:tcPr>
          <w:p>
            <w:pPr>
              <w:spacing w:after="40"/>
            </w:pPr>
            <w:r>
              <w:rPr>
                <w:rFonts w:ascii="Aptos" w:hAnsi="Aptos"/>
                <w:b/>
                <w:i w:val="0"/>
                <w:color w:val="173F68"/>
                <w:sz w:val="20"/>
              </w:rPr>
              <w:t xml:space="preserve">Parent tip: </w:t>
            </w:r>
            <w:r>
              <w:rPr>
                <w:rFonts w:ascii="Aptos" w:hAnsi="Aptos"/>
                <w:b w:val="0"/>
                <w:i w:val="0"/>
                <w:color w:val="2D3740"/>
                <w:sz w:val="20"/>
              </w:rPr>
              <w:t>If the school asks you to excuse a required team member, you may agree or decline. When the person's area will be discussed, written parent consent and written input from that member are required for excusal.</w:t>
            </w:r>
          </w:p>
        </w:tc>
      </w:tr>
    </w:tbl>
    <w:p>
      <w:pPr>
        <w:spacing w:after="0"/>
      </w:pPr>
    </w:p>
    <w:p>
      <w:pPr>
        <w:spacing w:before="120" w:after="60"/>
      </w:pPr>
      <w:r>
        <w:rPr>
          <w:rFonts w:ascii="Aptos" w:hAnsi="Aptos"/>
          <w:b/>
          <w:color w:val="69A7A2"/>
          <w:sz w:val="24"/>
        </w:rPr>
        <w:t>You should receive notice of the meeting</w:t>
      </w:r>
    </w:p>
    <w:p>
      <w:r>
        <w:rPr>
          <w:rFonts w:ascii="Aptos" w:hAnsi="Aptos"/>
          <w:b w:val="0"/>
          <w:i w:val="0"/>
          <w:color w:val="2D3740"/>
          <w:sz w:val="20"/>
        </w:rPr>
        <w:t>The school must notify you early enough to give you an opportunity to attend and schedule the meeting at a mutually agreed time and place. The notice should tell you the purpose, time, location, and who is expected to attend.</w:t>
      </w:r>
    </w:p>
    <w:p>
      <w:pPr>
        <w:spacing w:before="0" w:after="80"/>
        <w:pageBreakBefore/>
      </w:pPr>
      <w:r>
        <w:rPr>
          <w:rFonts w:ascii="Aptos Display" w:hAnsi="Aptos Display"/>
          <w:b/>
          <w:color w:val="173F68"/>
          <w:sz w:val="36"/>
        </w:rPr>
        <w:t>2. Evaluations, Reevaluations &amp; Independent Evaluations</w:t>
      </w:r>
    </w:p>
    <w:p>
      <w:pPr>
        <w:spacing w:after="160"/>
      </w:pPr>
      <w:r>
        <w:rPr>
          <w:rFonts w:ascii="Aptos" w:hAnsi="Aptos"/>
          <w:b w:val="0"/>
          <w:i/>
          <w:color w:val="69A7A2"/>
          <w:sz w:val="21"/>
        </w:rPr>
        <w:t>You have the right to understand how the school decides whether your child is eligible and what your child needs.</w:t>
      </w:r>
    </w:p>
    <w:tbl>
      <w:tblPr>
        <w:tblW w:type="auto" w:w="0"/>
        <w:tblLook w:firstColumn="1" w:firstRow="1" w:lastColumn="0" w:lastRow="0" w:noHBand="0" w:noVBand="1" w:val="04A0"/>
      </w:tblPr>
      <w:tblGrid>
        <w:gridCol w:w="10166"/>
      </w:tblGrid>
      <w:tr>
        <w:trPr>
          <w:trHeight w:val="43" w:hRule="exact"/>
          <w:cantSplit/>
          <w:tblHeader w:val="true"/>
        </w:trPr>
        <w:tc>
          <w:tcPr>
            <w:tcW w:type="dxa" w:w="9648"/>
            <w:shd w:fill="69A7A2"/>
          </w:tcPr>
          <w:p>
            <w:pPr>
              <w:spacing w:after="0"/>
            </w:pPr>
          </w:p>
        </w:tc>
      </w:tr>
    </w:tbl>
    <w:p>
      <w:pPr>
        <w:spacing w:after="0"/>
      </w:pPr>
    </w:p>
    <w:p>
      <w:pPr>
        <w:spacing w:before="120" w:after="60"/>
      </w:pPr>
      <w:r>
        <w:rPr>
          <w:rFonts w:ascii="Aptos" w:hAnsi="Aptos"/>
          <w:b/>
          <w:color w:val="69A7A2"/>
          <w:sz w:val="24"/>
        </w:rPr>
        <w:t>Requesting an evaluation</w:t>
      </w:r>
    </w:p>
    <w:p>
      <w:pPr>
        <w:pStyle w:val="ListBullet"/>
        <w:spacing w:after="40" w:line="252" w:lineRule="auto"/>
      </w:pPr>
      <w:r>
        <w:rPr>
          <w:rFonts w:ascii="Aptos" w:hAnsi="Aptos"/>
          <w:b w:val="0"/>
          <w:i w:val="0"/>
          <w:color w:val="2D3740"/>
          <w:sz w:val="20"/>
        </w:rPr>
        <w:t>A parent may request a special education evaluation at any time. Put the request in writing and keep a dated copy.</w:t>
      </w:r>
    </w:p>
    <w:p>
      <w:pPr>
        <w:pStyle w:val="ListBullet"/>
        <w:spacing w:after="40" w:line="252" w:lineRule="auto"/>
      </w:pPr>
      <w:r>
        <w:rPr>
          <w:rFonts w:ascii="Aptos" w:hAnsi="Aptos"/>
          <w:b w:val="0"/>
          <w:i w:val="0"/>
          <w:color w:val="2D3740"/>
          <w:sz w:val="20"/>
        </w:rPr>
        <w:t>In Pennsylvania, if you make an oral request to a professional employee or administrator, the school must provide the evaluation request form within 10 calendar days.</w:t>
      </w:r>
    </w:p>
    <w:p>
      <w:pPr>
        <w:pStyle w:val="ListBullet"/>
        <w:spacing w:after="40" w:line="252" w:lineRule="auto"/>
      </w:pPr>
      <w:r>
        <w:rPr>
          <w:rFonts w:ascii="Aptos" w:hAnsi="Aptos"/>
          <w:b w:val="0"/>
          <w:i w:val="0"/>
          <w:color w:val="2D3740"/>
          <w:sz w:val="20"/>
        </w:rPr>
        <w:t>The school must obtain informed written consent before conducting an initial special education evaluation.</w:t>
      </w:r>
    </w:p>
    <w:p>
      <w:pPr>
        <w:pStyle w:val="ListBullet"/>
        <w:spacing w:after="40" w:line="252" w:lineRule="auto"/>
      </w:pPr>
      <w:r>
        <w:rPr>
          <w:rFonts w:ascii="Aptos" w:hAnsi="Aptos"/>
          <w:b w:val="0"/>
          <w:i w:val="0"/>
          <w:color w:val="2D3740"/>
          <w:sz w:val="20"/>
        </w:rPr>
        <w:t>The evaluation must use multiple sources of information. No single test or score can be the sole basis for determining eligibility or educational needs.</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AF4F2"/>
            <w:tcMar>
              <w:top w:w="110" w:type="dxa"/>
              <w:start w:w="150" w:type="dxa"/>
              <w:bottom w:w="110" w:type="dxa"/>
              <w:end w:w="150" w:type="dxa"/>
            </w:tcMar>
            <w:tcBorders>
              <w:top w:val="single" w:sz="10" w:color="69A7A2"/>
              <w:left w:val="single" w:sz="10" w:color="69A7A2"/>
              <w:bottom w:val="single" w:sz="10" w:color="69A7A2"/>
              <w:right w:val="single" w:sz="10" w:color="69A7A2"/>
            </w:tcBorders>
          </w:tcPr>
          <w:p>
            <w:pPr>
              <w:spacing w:after="40"/>
            </w:pPr>
            <w:r>
              <w:rPr>
                <w:rFonts w:ascii="Aptos" w:hAnsi="Aptos"/>
                <w:b/>
                <w:i w:val="0"/>
                <w:color w:val="173F68"/>
                <w:sz w:val="20"/>
              </w:rPr>
              <w:t xml:space="preserve">Pennsylvania timeline: </w:t>
            </w:r>
            <w:r>
              <w:rPr>
                <w:rFonts w:ascii="Aptos" w:hAnsi="Aptos"/>
                <w:b w:val="0"/>
                <w:i w:val="0"/>
                <w:color w:val="2D3740"/>
                <w:sz w:val="20"/>
              </w:rPr>
              <w:t>After the school receives your written consent, the initial Evaluation Report is generally due within 60 calendar days. Pennsylvania does not count the period from the day after the last day of the spring school term through the day before the next fall term begins.</w:t>
            </w:r>
          </w:p>
        </w:tc>
      </w:tr>
    </w:tbl>
    <w:p>
      <w:pPr>
        <w:spacing w:after="0"/>
      </w:pPr>
    </w:p>
    <w:p>
      <w:pPr>
        <w:spacing w:before="120" w:after="60"/>
      </w:pPr>
      <w:r>
        <w:rPr>
          <w:rFonts w:ascii="Aptos" w:hAnsi="Aptos"/>
          <w:b/>
          <w:color w:val="69A7A2"/>
          <w:sz w:val="24"/>
        </w:rPr>
        <w:t>Before the IEP meeting</w:t>
      </w:r>
    </w:p>
    <w:p>
      <w:r>
        <w:rPr>
          <w:rFonts w:ascii="Aptos" w:hAnsi="Aptos"/>
          <w:b w:val="0"/>
          <w:i w:val="0"/>
          <w:color w:val="2D3740"/>
          <w:sz w:val="20"/>
        </w:rPr>
        <w:t>Pennsylvania monitoring guidance requires the school to provide the Evaluation Report or Reevaluation Report to parents at least 10 school days before the IEP meeting unless the parent waives that waiting period in writing.</w:t>
      </w:r>
    </w:p>
    <w:p>
      <w:pPr>
        <w:spacing w:before="120" w:after="60"/>
      </w:pPr>
      <w:r>
        <w:rPr>
          <w:rFonts w:ascii="Aptos" w:hAnsi="Aptos"/>
          <w:b/>
          <w:color w:val="69A7A2"/>
          <w:sz w:val="24"/>
        </w:rPr>
        <w:t>Reevaluations</w:t>
      </w:r>
    </w:p>
    <w:p>
      <w:pPr>
        <w:pStyle w:val="ListBullet"/>
        <w:spacing w:after="40" w:line="252" w:lineRule="auto"/>
      </w:pPr>
      <w:r>
        <w:rPr>
          <w:rFonts w:ascii="Aptos" w:hAnsi="Aptos"/>
          <w:b w:val="0"/>
          <w:i w:val="0"/>
          <w:color w:val="2D3740"/>
          <w:sz w:val="20"/>
        </w:rPr>
        <w:t>A reevaluation is generally required at least every 3 years.</w:t>
      </w:r>
    </w:p>
    <w:p>
      <w:pPr>
        <w:pStyle w:val="ListBullet"/>
        <w:spacing w:after="40" w:line="252" w:lineRule="auto"/>
      </w:pPr>
      <w:r>
        <w:rPr>
          <w:rFonts w:ascii="Aptos" w:hAnsi="Aptos"/>
          <w:b w:val="0"/>
          <w:i w:val="0"/>
          <w:color w:val="2D3740"/>
          <w:sz w:val="20"/>
        </w:rPr>
        <w:t>For a student identified with an intellectual disability, Pennsylvania generally requires reevaluation every 2 years.</w:t>
      </w:r>
    </w:p>
    <w:p>
      <w:pPr>
        <w:pStyle w:val="ListBullet"/>
        <w:spacing w:after="40" w:line="252" w:lineRule="auto"/>
      </w:pPr>
      <w:r>
        <w:rPr>
          <w:rFonts w:ascii="Aptos" w:hAnsi="Aptos"/>
          <w:b w:val="0"/>
          <w:i w:val="0"/>
          <w:color w:val="2D3740"/>
          <w:sz w:val="20"/>
        </w:rPr>
        <w:t>A parent and school may agree in writing to waive a reevaluation when the law allows it. If you do not agree to waive it, the reevaluation proceeds.</w:t>
      </w:r>
    </w:p>
    <w:p>
      <w:pPr>
        <w:pStyle w:val="ListBullet"/>
        <w:spacing w:after="40" w:line="252" w:lineRule="auto"/>
      </w:pPr>
      <w:r>
        <w:rPr>
          <w:rFonts w:ascii="Aptos" w:hAnsi="Aptos"/>
          <w:b w:val="0"/>
          <w:i w:val="0"/>
          <w:color w:val="2D3740"/>
          <w:sz w:val="20"/>
        </w:rPr>
        <w:t>If additional testing is needed, the school generally seeks your consent. A review of existing data does not itself require consent.</w:t>
      </w:r>
    </w:p>
    <w:p>
      <w:pPr>
        <w:pStyle w:val="ListBullet"/>
        <w:spacing w:after="40" w:line="252" w:lineRule="auto"/>
      </w:pPr>
      <w:r>
        <w:rPr>
          <w:rFonts w:ascii="Aptos" w:hAnsi="Aptos"/>
          <w:b w:val="0"/>
          <w:i w:val="0"/>
          <w:color w:val="2D3740"/>
          <w:sz w:val="20"/>
        </w:rPr>
        <w:t>You may request a reevaluation sooner when new concerns arise or more information is needed.</w:t>
      </w:r>
    </w:p>
    <w:p>
      <w:pPr>
        <w:spacing w:before="120" w:after="60"/>
      </w:pPr>
      <w:r>
        <w:rPr>
          <w:rFonts w:ascii="Aptos" w:hAnsi="Aptos"/>
          <w:b/>
          <w:color w:val="69A7A2"/>
          <w:sz w:val="24"/>
        </w:rPr>
        <w:t>Independent Educational Evaluation (IEE)</w:t>
      </w:r>
    </w:p>
    <w:p>
      <w:r>
        <w:rPr>
          <w:rFonts w:ascii="Aptos" w:hAnsi="Aptos"/>
          <w:b w:val="0"/>
          <w:i w:val="0"/>
          <w:color w:val="2D3740"/>
          <w:sz w:val="20"/>
        </w:rPr>
        <w:t>If you disagree with an evaluation obtained by the school, you may request an IEE at public expense. The school must, without unnecessary delay, either provide the IEE at public expense or file for due process to show that its evaluation was appropriate. The school may ask why you disagree, but it cannot require you to explain before acting on the request.</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F7F1E8"/>
            <w:tcMar>
              <w:top w:w="110" w:type="dxa"/>
              <w:start w:w="150" w:type="dxa"/>
              <w:bottom w:w="110" w:type="dxa"/>
              <w:end w:w="150" w:type="dxa"/>
            </w:tcMar>
            <w:tcBorders>
              <w:top w:val="single" w:sz="10" w:color="D8C4A3"/>
              <w:left w:val="single" w:sz="10" w:color="D8C4A3"/>
              <w:bottom w:val="single" w:sz="10" w:color="D8C4A3"/>
              <w:right w:val="single" w:sz="10" w:color="D8C4A3"/>
            </w:tcBorders>
          </w:tcPr>
          <w:p>
            <w:pPr>
              <w:spacing w:after="40"/>
            </w:pPr>
            <w:r>
              <w:rPr>
                <w:rFonts w:ascii="Aptos" w:hAnsi="Aptos"/>
                <w:b/>
                <w:i w:val="0"/>
                <w:color w:val="173F68"/>
                <w:sz w:val="20"/>
              </w:rPr>
              <w:t xml:space="preserve">Parent tip: </w:t>
            </w:r>
            <w:r>
              <w:rPr>
                <w:rFonts w:ascii="Aptos" w:hAnsi="Aptos"/>
                <w:b w:val="0"/>
                <w:i w:val="0"/>
                <w:color w:val="2D3740"/>
                <w:sz w:val="20"/>
              </w:rPr>
              <w:t>Ask for the district's IEE criteria in writing. If you obtain a private evaluation and share it with the school, the school must consider it if it meets applicable criteria, but it does not automatically have to adopt every recommendation.</w:t>
            </w:r>
          </w:p>
        </w:tc>
      </w:tr>
    </w:tbl>
    <w:p>
      <w:pPr>
        <w:spacing w:after="0"/>
      </w:pPr>
    </w:p>
    <w:p>
      <w:pPr>
        <w:spacing w:before="0" w:after="80"/>
        <w:pageBreakBefore/>
      </w:pPr>
      <w:r>
        <w:rPr>
          <w:rFonts w:ascii="Aptos Display" w:hAnsi="Aptos Display"/>
          <w:b/>
          <w:color w:val="173F68"/>
          <w:sz w:val="36"/>
        </w:rPr>
        <w:t>3. Your Child's IEP, FAPE &amp; Placement</w:t>
      </w:r>
    </w:p>
    <w:p>
      <w:pPr>
        <w:spacing w:after="160"/>
      </w:pPr>
      <w:r>
        <w:rPr>
          <w:rFonts w:ascii="Aptos" w:hAnsi="Aptos"/>
          <w:b w:val="0"/>
          <w:i/>
          <w:color w:val="69A7A2"/>
          <w:sz w:val="21"/>
        </w:rPr>
        <w:t>The IEP should describe what your child needs, what the school will provide, and how progress will be measured.</w:t>
      </w:r>
    </w:p>
    <w:tbl>
      <w:tblPr>
        <w:tblW w:type="auto" w:w="0"/>
        <w:tblLook w:firstColumn="1" w:firstRow="1" w:lastColumn="0" w:lastRow="0" w:noHBand="0" w:noVBand="1" w:val="04A0"/>
      </w:tblPr>
      <w:tblGrid>
        <w:gridCol w:w="10166"/>
      </w:tblGrid>
      <w:tr>
        <w:trPr>
          <w:trHeight w:val="43" w:hRule="exact"/>
          <w:cantSplit/>
          <w:tblHeader w:val="true"/>
        </w:trPr>
        <w:tc>
          <w:tcPr>
            <w:tcW w:type="dxa" w:w="9648"/>
            <w:shd w:fill="69A7A2"/>
          </w:tcPr>
          <w:p>
            <w:pPr>
              <w:spacing w:after="0"/>
            </w:pPr>
          </w:p>
        </w:tc>
      </w:tr>
    </w:tbl>
    <w:p>
      <w:pPr>
        <w:spacing w:after="0"/>
      </w:pPr>
    </w:p>
    <w:p>
      <w:pPr>
        <w:spacing w:before="120" w:after="60"/>
      </w:pPr>
      <w:r>
        <w:rPr>
          <w:rFonts w:ascii="Aptos" w:hAnsi="Aptos"/>
          <w:b/>
          <w:color w:val="69A7A2"/>
          <w:sz w:val="24"/>
        </w:rPr>
        <w:t>Free Appropriate Public Education (FAPE)</w:t>
      </w:r>
    </w:p>
    <w:p>
      <w:r>
        <w:rPr>
          <w:rFonts w:ascii="Aptos" w:hAnsi="Aptos"/>
          <w:b w:val="0"/>
          <w:i w:val="0"/>
          <w:color w:val="2D3740"/>
          <w:sz w:val="20"/>
        </w:rPr>
        <w:t>Eligible students have a right to special education and related services at no cost to parents that are designed to meet their unique needs. In Pennsylvania, students eligible under IDEA may receive FAPE until their 22nd birthday unless they graduate with a regular high school diploma earlier.</w:t>
      </w:r>
    </w:p>
    <w:p>
      <w:pPr>
        <w:spacing w:before="120" w:after="60"/>
      </w:pPr>
      <w:r>
        <w:rPr>
          <w:rFonts w:ascii="Aptos" w:hAnsi="Aptos"/>
          <w:b/>
          <w:color w:val="69A7A2"/>
          <w:sz w:val="24"/>
        </w:rPr>
        <w:t>A strong IEP should clearly address:</w:t>
      </w:r>
    </w:p>
    <w:p>
      <w:pPr>
        <w:pStyle w:val="ListBullet"/>
        <w:spacing w:after="40" w:line="252" w:lineRule="auto"/>
      </w:pPr>
      <w:r>
        <w:rPr>
          <w:rFonts w:ascii="Aptos" w:hAnsi="Aptos"/>
          <w:b w:val="0"/>
          <w:i w:val="0"/>
          <w:color w:val="2D3740"/>
          <w:sz w:val="19"/>
        </w:rPr>
        <w:t>Present levels of academic achievement and functional performance - where your child is now.</w:t>
      </w:r>
    </w:p>
    <w:p>
      <w:pPr>
        <w:pStyle w:val="ListBullet"/>
        <w:spacing w:after="40" w:line="252" w:lineRule="auto"/>
      </w:pPr>
      <w:r>
        <w:rPr>
          <w:rFonts w:ascii="Aptos" w:hAnsi="Aptos"/>
          <w:b w:val="0"/>
          <w:i w:val="0"/>
          <w:color w:val="2D3740"/>
          <w:sz w:val="19"/>
        </w:rPr>
        <w:t>Measurable annual goals tied to identified needs.</w:t>
      </w:r>
    </w:p>
    <w:p>
      <w:pPr>
        <w:pStyle w:val="ListBullet"/>
        <w:spacing w:after="40" w:line="252" w:lineRule="auto"/>
      </w:pPr>
      <w:r>
        <w:rPr>
          <w:rFonts w:ascii="Aptos" w:hAnsi="Aptos"/>
          <w:b w:val="0"/>
          <w:i w:val="0"/>
          <w:color w:val="2D3740"/>
          <w:sz w:val="19"/>
        </w:rPr>
        <w:t>How progress toward each goal will be measured and when progress will be reported.</w:t>
      </w:r>
    </w:p>
    <w:p>
      <w:pPr>
        <w:pStyle w:val="ListBullet"/>
        <w:spacing w:after="40" w:line="252" w:lineRule="auto"/>
      </w:pPr>
      <w:r>
        <w:rPr>
          <w:rFonts w:ascii="Aptos" w:hAnsi="Aptos"/>
          <w:b w:val="0"/>
          <w:i w:val="0"/>
          <w:color w:val="2D3740"/>
          <w:sz w:val="19"/>
        </w:rPr>
        <w:t>Specially designed instruction, related services, supplementary aids, accommodations, and supports.</w:t>
      </w:r>
    </w:p>
    <w:p>
      <w:pPr>
        <w:pStyle w:val="ListBullet"/>
        <w:spacing w:after="40" w:line="252" w:lineRule="auto"/>
      </w:pPr>
      <w:r>
        <w:rPr>
          <w:rFonts w:ascii="Aptos" w:hAnsi="Aptos"/>
          <w:b w:val="0"/>
          <w:i w:val="0"/>
          <w:color w:val="2D3740"/>
          <w:sz w:val="19"/>
        </w:rPr>
        <w:t>The frequency, location, and duration of services and when they will begin.</w:t>
      </w:r>
    </w:p>
    <w:p>
      <w:pPr>
        <w:pStyle w:val="ListBullet"/>
        <w:spacing w:after="40" w:line="252" w:lineRule="auto"/>
      </w:pPr>
      <w:r>
        <w:rPr>
          <w:rFonts w:ascii="Aptos" w:hAnsi="Aptos"/>
          <w:b w:val="0"/>
          <w:i w:val="0"/>
          <w:color w:val="2D3740"/>
          <w:sz w:val="19"/>
        </w:rPr>
        <w:t>Participation in state and local assessments and needed accommodations.</w:t>
      </w:r>
    </w:p>
    <w:p>
      <w:pPr>
        <w:pStyle w:val="ListBullet"/>
        <w:spacing w:after="40" w:line="252" w:lineRule="auto"/>
      </w:pPr>
      <w:r>
        <w:rPr>
          <w:rFonts w:ascii="Aptos" w:hAnsi="Aptos"/>
          <w:b w:val="0"/>
          <w:i w:val="0"/>
          <w:color w:val="2D3740"/>
          <w:sz w:val="19"/>
        </w:rPr>
        <w:t>Behavioral supports when behavior interferes with the child's learning or the learning of others.</w:t>
      </w:r>
    </w:p>
    <w:p>
      <w:pPr>
        <w:pStyle w:val="ListBullet"/>
        <w:spacing w:after="40" w:line="252" w:lineRule="auto"/>
      </w:pPr>
      <w:r>
        <w:rPr>
          <w:rFonts w:ascii="Aptos" w:hAnsi="Aptos"/>
          <w:b w:val="0"/>
          <w:i w:val="0"/>
          <w:color w:val="2D3740"/>
          <w:sz w:val="19"/>
        </w:rPr>
        <w:t>Assistive technology when needed for the child to receive FAPE.</w:t>
      </w:r>
    </w:p>
    <w:p>
      <w:pPr>
        <w:pStyle w:val="ListBullet"/>
        <w:spacing w:after="40" w:line="252" w:lineRule="auto"/>
      </w:pPr>
      <w:r>
        <w:rPr>
          <w:rFonts w:ascii="Aptos" w:hAnsi="Aptos"/>
          <w:b w:val="0"/>
          <w:i w:val="0"/>
          <w:color w:val="2D3740"/>
          <w:sz w:val="19"/>
        </w:rPr>
        <w:t>Extended School Year (ESY) consideration.</w:t>
      </w:r>
    </w:p>
    <w:p>
      <w:pPr>
        <w:pStyle w:val="ListBullet"/>
        <w:spacing w:after="40" w:line="252" w:lineRule="auto"/>
      </w:pPr>
      <w:r>
        <w:rPr>
          <w:rFonts w:ascii="Aptos" w:hAnsi="Aptos"/>
          <w:b w:val="0"/>
          <w:i w:val="0"/>
          <w:color w:val="2D3740"/>
          <w:sz w:val="19"/>
        </w:rPr>
        <w:t>Transition goals and services beginning by age 14 in Pennsylvania, or earlier when appropriate.</w:t>
      </w:r>
    </w:p>
    <w:p>
      <w:pPr>
        <w:spacing w:before="120" w:after="60"/>
      </w:pPr>
      <w:r>
        <w:rPr>
          <w:rFonts w:ascii="Aptos" w:hAnsi="Aptos"/>
          <w:b/>
          <w:color w:val="69A7A2"/>
          <w:sz w:val="24"/>
        </w:rPr>
        <w:t>Least Restrictive Environment (LRE)</w:t>
      </w:r>
    </w:p>
    <w:p>
      <w:r>
        <w:rPr>
          <w:rFonts w:ascii="Aptos" w:hAnsi="Aptos"/>
          <w:b w:val="0"/>
          <w:i w:val="0"/>
          <w:color w:val="2D3740"/>
          <w:sz w:val="20"/>
        </w:rPr>
        <w:t>Your child should be educated with nondisabled peers to the maximum extent appropriate. Removal from general education should occur only when education there cannot be achieved satisfactorily even with appropriate supplementary aids and services. Placement should be based on the IEP - not simply on a disability label or a program that already exists.</w:t>
      </w:r>
    </w:p>
    <w:p>
      <w:pPr>
        <w:spacing w:before="120" w:after="60"/>
      </w:pPr>
      <w:r>
        <w:rPr>
          <w:rFonts w:ascii="Aptos" w:hAnsi="Aptos"/>
          <w:b/>
          <w:color w:val="69A7A2"/>
          <w:sz w:val="24"/>
        </w:rPr>
        <w:t>IEP timing</w:t>
      </w:r>
    </w:p>
    <w:tbl>
      <w:tblPr>
        <w:tblW w:type="auto" w:w="0"/>
        <w:jc w:val="center"/>
        <w:tblLayout w:type="fixed"/>
        <w:tblLook w:firstColumn="1" w:firstRow="1" w:lastColumn="0" w:lastRow="0" w:noHBand="0" w:noVBand="1" w:val="04A0"/>
      </w:tblPr>
      <w:tblGrid>
        <w:gridCol w:w="5083"/>
        <w:gridCol w:w="5083"/>
      </w:tblGrid>
      <w:tr>
        <w:trPr>
          <w:cantSplit/>
          <w:tblHeader w:val="true"/>
        </w:trPr>
        <w:tc>
          <w:tcPr>
            <w:tcW w:type="dxa" w:w="4723"/>
            <w:shd w:fill="F7F1E8"/>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Initial IEP</w:t>
            </w:r>
          </w:p>
          <w:p>
            <w:pPr>
              <w:spacing w:after="0"/>
            </w:pPr>
            <w:r>
              <w:rPr>
                <w:rFonts w:ascii="Aptos" w:hAnsi="Aptos"/>
                <w:b w:val="0"/>
                <w:i w:val="0"/>
                <w:color w:val="2D3740"/>
                <w:sz w:val="18"/>
              </w:rPr>
              <w:t>An initial IEP meeting must be held within 30 calendar days after the child is determined eligible for special education.</w:t>
            </w:r>
          </w:p>
        </w:tc>
        <w:tc>
          <w:tcPr>
            <w:tcW w:type="dxa" w:w="4723"/>
            <w:shd w:fill="EAF4F2"/>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Annual review</w:t>
            </w:r>
          </w:p>
          <w:p>
            <w:pPr>
              <w:spacing w:after="0"/>
            </w:pPr>
            <w:r>
              <w:rPr>
                <w:rFonts w:ascii="Aptos" w:hAnsi="Aptos"/>
                <w:b w:val="0"/>
                <w:i w:val="0"/>
                <w:color w:val="2D3740"/>
                <w:sz w:val="18"/>
              </w:rPr>
              <w:t>The IEP must be reviewed at least once every year and revised when needed.</w:t>
            </w:r>
          </w:p>
        </w:tc>
      </w:tr>
      <w:tr>
        <w:trPr>
          <w:cantSplit/>
        </w:trPr>
        <w:tc>
          <w:tcPr>
            <w:tcW w:type="dxa" w:w="4723"/>
            <w:shd w:fill="F7F1E8"/>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Implementation</w:t>
            </w:r>
          </w:p>
          <w:p>
            <w:pPr>
              <w:spacing w:after="0"/>
            </w:pPr>
            <w:r>
              <w:rPr>
                <w:rFonts w:ascii="Aptos" w:hAnsi="Aptos"/>
                <w:b w:val="0"/>
                <w:i w:val="0"/>
                <w:color w:val="2D3740"/>
                <w:sz w:val="18"/>
              </w:rPr>
              <w:t>Pennsylvania requires the IEP to be implemented no later than 10 school days after completion.</w:t>
            </w:r>
          </w:p>
        </w:tc>
        <w:tc>
          <w:tcPr>
            <w:tcW w:type="dxa" w:w="4723"/>
            <w:shd w:fill="EAF4F2"/>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Progress</w:t>
            </w:r>
          </w:p>
          <w:p>
            <w:pPr>
              <w:spacing w:after="0"/>
            </w:pPr>
            <w:r>
              <w:rPr>
                <w:rFonts w:ascii="Aptos" w:hAnsi="Aptos"/>
                <w:b w:val="0"/>
                <w:i w:val="0"/>
                <w:color w:val="2D3740"/>
                <w:sz w:val="18"/>
              </w:rPr>
              <w:t>You should receive progress information as described in the IEP - often at least as often as report cards, depending on the IEP.</w:t>
            </w:r>
          </w:p>
        </w:tc>
      </w:tr>
    </w:tbl>
    <w:p>
      <w:pPr>
        <w:spacing w:after="0"/>
      </w:pP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F7F1E8"/>
            <w:tcMar>
              <w:top w:w="110" w:type="dxa"/>
              <w:start w:w="150" w:type="dxa"/>
              <w:bottom w:w="110" w:type="dxa"/>
              <w:end w:w="150" w:type="dxa"/>
            </w:tcMar>
            <w:tcBorders>
              <w:top w:val="single" w:sz="10" w:color="D8C4A3"/>
              <w:left w:val="single" w:sz="10" w:color="D8C4A3"/>
              <w:bottom w:val="single" w:sz="10" w:color="D8C4A3"/>
              <w:right w:val="single" w:sz="10" w:color="D8C4A3"/>
            </w:tcBorders>
          </w:tcPr>
          <w:p>
            <w:pPr>
              <w:spacing w:after="40"/>
            </w:pPr>
            <w:r>
              <w:rPr>
                <w:rFonts w:ascii="Aptos" w:hAnsi="Aptos"/>
                <w:b/>
                <w:i w:val="0"/>
                <w:color w:val="173F68"/>
                <w:sz w:val="20"/>
              </w:rPr>
              <w:t xml:space="preserve">Parent tip: </w:t>
            </w:r>
            <w:r>
              <w:rPr>
                <w:rFonts w:ascii="Aptos" w:hAnsi="Aptos"/>
                <w:b w:val="0"/>
                <w:i w:val="0"/>
                <w:color w:val="2D3740"/>
                <w:sz w:val="20"/>
              </w:rPr>
              <w:t>If a service is important, make sure the IEP says who will provide it, how often, for how long, and where. Avoid relying only on vague phrases such as 'as needed.'</w:t>
            </w:r>
          </w:p>
        </w:tc>
      </w:tr>
    </w:tbl>
    <w:p>
      <w:pPr>
        <w:spacing w:after="0"/>
      </w:pPr>
    </w:p>
    <w:p>
      <w:pPr>
        <w:spacing w:before="0" w:after="80"/>
        <w:pageBreakBefore/>
      </w:pPr>
      <w:r>
        <w:rPr>
          <w:rFonts w:ascii="Aptos Display" w:hAnsi="Aptos Display"/>
          <w:b/>
          <w:color w:val="173F68"/>
          <w:sz w:val="36"/>
        </w:rPr>
        <w:t>4. Written Notice, Consent &amp; Procedural Safeguards</w:t>
      </w:r>
    </w:p>
    <w:p>
      <w:pPr>
        <w:spacing w:after="160"/>
      </w:pPr>
      <w:r>
        <w:rPr>
          <w:rFonts w:ascii="Aptos" w:hAnsi="Aptos"/>
          <w:b w:val="0"/>
          <w:i/>
          <w:color w:val="69A7A2"/>
          <w:sz w:val="21"/>
        </w:rPr>
        <w:t>Paperwork matters because it documents what the school is proposing, refusing, and why.</w:t>
      </w:r>
    </w:p>
    <w:tbl>
      <w:tblPr>
        <w:tblW w:type="auto" w:w="0"/>
        <w:tblLook w:firstColumn="1" w:firstRow="1" w:lastColumn="0" w:lastRow="0" w:noHBand="0" w:noVBand="1" w:val="04A0"/>
      </w:tblPr>
      <w:tblGrid>
        <w:gridCol w:w="10166"/>
      </w:tblGrid>
      <w:tr>
        <w:trPr>
          <w:trHeight w:val="43" w:hRule="exact"/>
          <w:cantSplit/>
          <w:tblHeader w:val="true"/>
        </w:trPr>
        <w:tc>
          <w:tcPr>
            <w:tcW w:type="dxa" w:w="9648"/>
            <w:shd w:fill="69A7A2"/>
          </w:tcPr>
          <w:p>
            <w:pPr>
              <w:spacing w:after="0"/>
            </w:pPr>
          </w:p>
        </w:tc>
      </w:tr>
    </w:tbl>
    <w:p>
      <w:pPr>
        <w:spacing w:after="0"/>
      </w:pPr>
    </w:p>
    <w:p>
      <w:pPr>
        <w:spacing w:before="120" w:after="60"/>
      </w:pPr>
      <w:r>
        <w:rPr>
          <w:rFonts w:ascii="Aptos" w:hAnsi="Aptos"/>
          <w:b/>
          <w:color w:val="69A7A2"/>
          <w:sz w:val="24"/>
        </w:rPr>
        <w:t>Prior Written Notice / NOREP</w:t>
      </w:r>
    </w:p>
    <w:p>
      <w:r>
        <w:rPr>
          <w:rFonts w:ascii="Aptos" w:hAnsi="Aptos"/>
          <w:b w:val="0"/>
          <w:i w:val="0"/>
          <w:color w:val="2D3740"/>
          <w:sz w:val="20"/>
        </w:rPr>
        <w:t>Before the school proposes or refuses to begin or change your child's identification, evaluation, educational placement, or FAPE, it must give you written notice. In Pennsylvania, this is commonly provided through a Notice of Recommended Educational Placement / Prior Written Notice (NOREP/PWN).</w:t>
      </w:r>
    </w:p>
    <w:p>
      <w:r>
        <w:rPr>
          <w:rFonts w:ascii="Aptos" w:hAnsi="Aptos"/>
          <w:b/>
          <w:i w:val="0"/>
          <w:color w:val="173F68"/>
          <w:sz w:val="20"/>
        </w:rPr>
        <w:t>The notice should explain:</w:t>
      </w:r>
    </w:p>
    <w:p>
      <w:pPr>
        <w:pStyle w:val="ListBullet"/>
        <w:spacing w:after="40" w:line="252" w:lineRule="auto"/>
      </w:pPr>
      <w:r>
        <w:rPr>
          <w:rFonts w:ascii="Aptos" w:hAnsi="Aptos"/>
          <w:b w:val="0"/>
          <w:i w:val="0"/>
          <w:color w:val="2D3740"/>
          <w:sz w:val="20"/>
        </w:rPr>
        <w:t>What the school proposes or refuses to do.</w:t>
      </w:r>
    </w:p>
    <w:p>
      <w:pPr>
        <w:pStyle w:val="ListBullet"/>
        <w:spacing w:after="40" w:line="252" w:lineRule="auto"/>
      </w:pPr>
      <w:r>
        <w:rPr>
          <w:rFonts w:ascii="Aptos" w:hAnsi="Aptos"/>
          <w:b w:val="0"/>
          <w:i w:val="0"/>
          <w:color w:val="2D3740"/>
          <w:sz w:val="20"/>
        </w:rPr>
        <w:t>Why the school is making that decision.</w:t>
      </w:r>
    </w:p>
    <w:p>
      <w:pPr>
        <w:pStyle w:val="ListBullet"/>
        <w:spacing w:after="40" w:line="252" w:lineRule="auto"/>
      </w:pPr>
      <w:r>
        <w:rPr>
          <w:rFonts w:ascii="Aptos" w:hAnsi="Aptos"/>
          <w:b w:val="0"/>
          <w:i w:val="0"/>
          <w:color w:val="2D3740"/>
          <w:sz w:val="20"/>
        </w:rPr>
        <w:t>The evaluations, records, assessments, or reports used to make the decision.</w:t>
      </w:r>
    </w:p>
    <w:p>
      <w:pPr>
        <w:pStyle w:val="ListBullet"/>
        <w:spacing w:after="40" w:line="252" w:lineRule="auto"/>
      </w:pPr>
      <w:r>
        <w:rPr>
          <w:rFonts w:ascii="Aptos" w:hAnsi="Aptos"/>
          <w:b w:val="0"/>
          <w:i w:val="0"/>
          <w:color w:val="2D3740"/>
          <w:sz w:val="20"/>
        </w:rPr>
        <w:t>Other options the team considered and why those options were rejected.</w:t>
      </w:r>
    </w:p>
    <w:p>
      <w:pPr>
        <w:pStyle w:val="ListBullet"/>
        <w:spacing w:after="40" w:line="252" w:lineRule="auto"/>
      </w:pPr>
      <w:r>
        <w:rPr>
          <w:rFonts w:ascii="Aptos" w:hAnsi="Aptos"/>
          <w:b w:val="0"/>
          <w:i w:val="0"/>
          <w:color w:val="2D3740"/>
          <w:sz w:val="20"/>
        </w:rPr>
        <w:t>Other factors relevant to the decision.</w:t>
      </w:r>
    </w:p>
    <w:p>
      <w:pPr>
        <w:pStyle w:val="ListBullet"/>
        <w:spacing w:after="40" w:line="252" w:lineRule="auto"/>
      </w:pPr>
      <w:r>
        <w:rPr>
          <w:rFonts w:ascii="Aptos" w:hAnsi="Aptos"/>
          <w:b w:val="0"/>
          <w:i w:val="0"/>
          <w:color w:val="2D3740"/>
          <w:sz w:val="20"/>
        </w:rPr>
        <w:t>How to obtain or understand your procedural safeguards.</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FFF4EA"/>
            <w:tcMar>
              <w:top w:w="110" w:type="dxa"/>
              <w:start w:w="150" w:type="dxa"/>
              <w:bottom w:w="110" w:type="dxa"/>
              <w:end w:w="150" w:type="dxa"/>
            </w:tcMar>
            <w:tcBorders>
              <w:top w:val="single" w:sz="10" w:color="9E3A38"/>
              <w:left w:val="single" w:sz="10" w:color="9E3A38"/>
              <w:bottom w:val="single" w:sz="10" w:color="9E3A38"/>
              <w:right w:val="single" w:sz="10" w:color="9E3A38"/>
            </w:tcBorders>
          </w:tcPr>
          <w:p>
            <w:pPr>
              <w:spacing w:after="40"/>
            </w:pPr>
            <w:r>
              <w:rPr>
                <w:rFonts w:ascii="Aptos" w:hAnsi="Aptos"/>
                <w:b/>
                <w:i w:val="0"/>
                <w:color w:val="173F68"/>
                <w:sz w:val="20"/>
              </w:rPr>
              <w:t xml:space="preserve">Important: </w:t>
            </w:r>
            <w:r>
              <w:rPr>
                <w:rFonts w:ascii="Aptos" w:hAnsi="Aptos"/>
                <w:b w:val="0"/>
                <w:i w:val="0"/>
                <w:color w:val="2D3740"/>
                <w:sz w:val="20"/>
              </w:rPr>
              <w:t>Do not ignore a NOREP/PWN. If you disagree, response deadlines can affect whether a proposed placement change goes into effect and whether 'stay put' applies. Contact the school or Pennsylvania's Special Education ConsultLine promptly if you are unsure what to do.</w:t>
            </w:r>
          </w:p>
        </w:tc>
      </w:tr>
    </w:tbl>
    <w:p>
      <w:pPr>
        <w:spacing w:after="0"/>
      </w:pPr>
    </w:p>
    <w:p>
      <w:pPr>
        <w:spacing w:before="120" w:after="60"/>
      </w:pPr>
      <w:r>
        <w:rPr>
          <w:rFonts w:ascii="Aptos" w:hAnsi="Aptos"/>
          <w:b/>
          <w:color w:val="69A7A2"/>
          <w:sz w:val="24"/>
        </w:rPr>
        <w:t>Consent</w:t>
      </w:r>
    </w:p>
    <w:p>
      <w:pPr>
        <w:pStyle w:val="ListBullet"/>
        <w:spacing w:after="40" w:line="252" w:lineRule="auto"/>
      </w:pPr>
      <w:r>
        <w:rPr>
          <w:rFonts w:ascii="Aptos" w:hAnsi="Aptos"/>
          <w:b w:val="0"/>
          <w:i w:val="0"/>
          <w:color w:val="2D3740"/>
          <w:sz w:val="20"/>
        </w:rPr>
        <w:t>Consent must be informed and voluntary. You should understand what you are agreeing to.</w:t>
      </w:r>
    </w:p>
    <w:p>
      <w:pPr>
        <w:pStyle w:val="ListBullet"/>
        <w:spacing w:after="40" w:line="252" w:lineRule="auto"/>
      </w:pPr>
      <w:r>
        <w:rPr>
          <w:rFonts w:ascii="Aptos" w:hAnsi="Aptos"/>
          <w:b w:val="0"/>
          <w:i w:val="0"/>
          <w:color w:val="2D3740"/>
          <w:sz w:val="20"/>
        </w:rPr>
        <w:t>Your written consent is required before an initial evaluation and before special education services begin for the first time.</w:t>
      </w:r>
    </w:p>
    <w:p>
      <w:pPr>
        <w:pStyle w:val="ListBullet"/>
        <w:spacing w:after="40" w:line="252" w:lineRule="auto"/>
      </w:pPr>
      <w:r>
        <w:rPr>
          <w:rFonts w:ascii="Aptos" w:hAnsi="Aptos"/>
          <w:b w:val="0"/>
          <w:i w:val="0"/>
          <w:color w:val="2D3740"/>
          <w:sz w:val="20"/>
        </w:rPr>
        <w:t>You may revoke consent for continued special education services in writing. The school must provide written notice before stopping services.</w:t>
      </w:r>
    </w:p>
    <w:p>
      <w:pPr>
        <w:pStyle w:val="ListBullet"/>
        <w:spacing w:after="40" w:line="252" w:lineRule="auto"/>
      </w:pPr>
      <w:r>
        <w:rPr>
          <w:rFonts w:ascii="Aptos" w:hAnsi="Aptos"/>
          <w:b w:val="0"/>
          <w:i w:val="0"/>
          <w:color w:val="2D3740"/>
          <w:sz w:val="20"/>
        </w:rPr>
        <w:t>Consent for one activity is not blanket permission for every future action.</w:t>
      </w:r>
    </w:p>
    <w:p>
      <w:pPr>
        <w:spacing w:before="120" w:after="60"/>
      </w:pPr>
      <w:r>
        <w:rPr>
          <w:rFonts w:ascii="Aptos" w:hAnsi="Aptos"/>
          <w:b/>
          <w:color w:val="69A7A2"/>
          <w:sz w:val="24"/>
        </w:rPr>
        <w:t>Procedural Safeguards Notice</w:t>
      </w:r>
    </w:p>
    <w:p>
      <w:r>
        <w:rPr>
          <w:rFonts w:ascii="Aptos" w:hAnsi="Aptos"/>
          <w:b w:val="0"/>
          <w:i w:val="0"/>
          <w:color w:val="2D3740"/>
          <w:sz w:val="20"/>
        </w:rPr>
        <w:t>The school must provide the full procedural safeguards notice at least once each school year and at certain other times, including an initial referral or parent request for evaluation, the first state complaint and first due process complaint in a school year, certain disciplinary actions, and whenever you request a copy.</w:t>
      </w:r>
    </w:p>
    <w:p>
      <w:pPr>
        <w:spacing w:before="120" w:after="60"/>
      </w:pPr>
      <w:r>
        <w:rPr>
          <w:rFonts w:ascii="Aptos" w:hAnsi="Aptos"/>
          <w:b/>
          <w:color w:val="69A7A2"/>
          <w:sz w:val="24"/>
        </w:rPr>
        <w:t>Understandable language</w:t>
      </w:r>
    </w:p>
    <w:p>
      <w:r>
        <w:rPr>
          <w:rFonts w:ascii="Aptos" w:hAnsi="Aptos"/>
          <w:b w:val="0"/>
          <w:i w:val="0"/>
          <w:color w:val="2D3740"/>
          <w:sz w:val="20"/>
        </w:rPr>
        <w:t>Notices must be written in language understandable to the general public and provided in the parent's native language or other mode of communication unless clearly not feasible. The school must take steps to ensure that the parent understands the notice.</w:t>
      </w:r>
    </w:p>
    <w:p>
      <w:pPr>
        <w:spacing w:before="0" w:after="80"/>
        <w:pageBreakBefore/>
      </w:pPr>
      <w:r>
        <w:rPr>
          <w:rFonts w:ascii="Aptos Display" w:hAnsi="Aptos Display"/>
          <w:b/>
          <w:color w:val="173F68"/>
          <w:sz w:val="36"/>
        </w:rPr>
        <w:t>5. Records, Confidentiality &amp; Documentation</w:t>
      </w:r>
    </w:p>
    <w:p>
      <w:pPr>
        <w:spacing w:after="160"/>
      </w:pPr>
      <w:r>
        <w:rPr>
          <w:rFonts w:ascii="Aptos" w:hAnsi="Aptos"/>
          <w:b w:val="0"/>
          <w:i/>
          <w:color w:val="69A7A2"/>
          <w:sz w:val="21"/>
        </w:rPr>
        <w:t>You have the right to know what information the school is using to make decisions about your child.</w:t>
      </w:r>
    </w:p>
    <w:tbl>
      <w:tblPr>
        <w:tblW w:type="auto" w:w="0"/>
        <w:tblLook w:firstColumn="1" w:firstRow="1" w:lastColumn="0" w:lastRow="0" w:noHBand="0" w:noVBand="1" w:val="04A0"/>
      </w:tblPr>
      <w:tblGrid>
        <w:gridCol w:w="10166"/>
      </w:tblGrid>
      <w:tr>
        <w:trPr>
          <w:trHeight w:val="43" w:hRule="exact"/>
          <w:cantSplit/>
          <w:tblHeader w:val="true"/>
        </w:trPr>
        <w:tc>
          <w:tcPr>
            <w:tcW w:type="dxa" w:w="9648"/>
            <w:shd w:fill="69A7A2"/>
          </w:tcPr>
          <w:p>
            <w:pPr>
              <w:spacing w:after="0"/>
            </w:pPr>
          </w:p>
        </w:tc>
      </w:tr>
    </w:tbl>
    <w:p>
      <w:pPr>
        <w:spacing w:after="0"/>
      </w:pPr>
    </w:p>
    <w:p>
      <w:pPr>
        <w:spacing w:before="120" w:after="60"/>
      </w:pPr>
      <w:r>
        <w:rPr>
          <w:rFonts w:ascii="Aptos" w:hAnsi="Aptos"/>
          <w:b/>
          <w:color w:val="69A7A2"/>
          <w:sz w:val="24"/>
        </w:rPr>
        <w:t>Your education-record rights</w:t>
      </w:r>
    </w:p>
    <w:p>
      <w:pPr>
        <w:pStyle w:val="ListBullet"/>
        <w:spacing w:after="40" w:line="252" w:lineRule="auto"/>
      </w:pPr>
      <w:r>
        <w:rPr>
          <w:rFonts w:ascii="Aptos" w:hAnsi="Aptos"/>
          <w:b w:val="0"/>
          <w:i w:val="0"/>
          <w:color w:val="2D3740"/>
          <w:sz w:val="20"/>
        </w:rPr>
        <w:t>Inspect and review education records related to your child.</w:t>
      </w:r>
    </w:p>
    <w:p>
      <w:pPr>
        <w:pStyle w:val="ListBullet"/>
        <w:spacing w:after="40" w:line="252" w:lineRule="auto"/>
      </w:pPr>
      <w:r>
        <w:rPr>
          <w:rFonts w:ascii="Aptos" w:hAnsi="Aptos"/>
          <w:b w:val="0"/>
          <w:i w:val="0"/>
          <w:color w:val="2D3740"/>
          <w:sz w:val="20"/>
        </w:rPr>
        <w:t>Receive explanations and interpretations of records when reasonably requested.</w:t>
      </w:r>
    </w:p>
    <w:p>
      <w:pPr>
        <w:pStyle w:val="ListBullet"/>
        <w:spacing w:after="40" w:line="252" w:lineRule="auto"/>
      </w:pPr>
      <w:r>
        <w:rPr>
          <w:rFonts w:ascii="Aptos" w:hAnsi="Aptos"/>
          <w:b w:val="0"/>
          <w:i w:val="0"/>
          <w:color w:val="2D3740"/>
          <w:sz w:val="20"/>
        </w:rPr>
        <w:t>Ask for copies when not receiving copies would effectively prevent you from reviewing the records.</w:t>
      </w:r>
    </w:p>
    <w:p>
      <w:pPr>
        <w:pStyle w:val="ListBullet"/>
        <w:spacing w:after="40" w:line="252" w:lineRule="auto"/>
      </w:pPr>
      <w:r>
        <w:rPr>
          <w:rFonts w:ascii="Aptos" w:hAnsi="Aptos"/>
          <w:b w:val="0"/>
          <w:i w:val="0"/>
          <w:color w:val="2D3740"/>
          <w:sz w:val="20"/>
        </w:rPr>
        <w:t>Have a representative review records on your behalf when authorized.</w:t>
      </w:r>
    </w:p>
    <w:p>
      <w:pPr>
        <w:pStyle w:val="ListBullet"/>
        <w:spacing w:after="40" w:line="252" w:lineRule="auto"/>
      </w:pPr>
      <w:r>
        <w:rPr>
          <w:rFonts w:ascii="Aptos" w:hAnsi="Aptos"/>
          <w:b w:val="0"/>
          <w:i w:val="0"/>
          <w:color w:val="2D3740"/>
          <w:sz w:val="20"/>
        </w:rPr>
        <w:t>Ask the school to amend information you believe is inaccurate, misleading, or violates privacy rights.</w:t>
      </w:r>
    </w:p>
    <w:p>
      <w:pPr>
        <w:pStyle w:val="ListBullet"/>
        <w:spacing w:after="40" w:line="252" w:lineRule="auto"/>
      </w:pPr>
      <w:r>
        <w:rPr>
          <w:rFonts w:ascii="Aptos" w:hAnsi="Aptos"/>
          <w:b w:val="0"/>
          <w:i w:val="0"/>
          <w:color w:val="2D3740"/>
          <w:sz w:val="20"/>
        </w:rPr>
        <w:t>Expect personally identifiable information to be protected and disclosed only as permitted by law.</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AF4F2"/>
            <w:tcMar>
              <w:top w:w="110" w:type="dxa"/>
              <w:start w:w="150" w:type="dxa"/>
              <w:bottom w:w="110" w:type="dxa"/>
              <w:end w:w="150" w:type="dxa"/>
            </w:tcMar>
            <w:tcBorders>
              <w:top w:val="single" w:sz="10" w:color="69A7A2"/>
              <w:left w:val="single" w:sz="10" w:color="69A7A2"/>
              <w:bottom w:val="single" w:sz="10" w:color="69A7A2"/>
              <w:right w:val="single" w:sz="10" w:color="69A7A2"/>
            </w:tcBorders>
          </w:tcPr>
          <w:p>
            <w:pPr>
              <w:spacing w:after="40"/>
            </w:pPr>
            <w:r>
              <w:rPr>
                <w:rFonts w:ascii="Aptos" w:hAnsi="Aptos"/>
                <w:b/>
                <w:i w:val="0"/>
                <w:color w:val="173F68"/>
                <w:sz w:val="20"/>
              </w:rPr>
              <w:t xml:space="preserve">Timeline: </w:t>
            </w:r>
            <w:r>
              <w:rPr>
                <w:rFonts w:ascii="Aptos" w:hAnsi="Aptos"/>
                <w:b w:val="0"/>
                <w:i w:val="0"/>
                <w:color w:val="2D3740"/>
                <w:sz w:val="20"/>
              </w:rPr>
              <w:t>The school must respond to a records request without unnecessary delay, before an IEP meeting, due process hearing, or resolution session when applicable, and in no case more than 45 days after the request.</w:t>
            </w:r>
          </w:p>
        </w:tc>
      </w:tr>
    </w:tbl>
    <w:p>
      <w:pPr>
        <w:spacing w:after="0"/>
      </w:pPr>
    </w:p>
    <w:p>
      <w:pPr>
        <w:spacing w:before="120" w:after="60"/>
      </w:pPr>
      <w:r>
        <w:rPr>
          <w:rFonts w:ascii="Aptos" w:hAnsi="Aptos"/>
          <w:b/>
          <w:color w:val="69A7A2"/>
          <w:sz w:val="24"/>
        </w:rPr>
        <w:t>Build your own paper trail</w:t>
      </w:r>
    </w:p>
    <w:p>
      <w:r>
        <w:rPr>
          <w:rFonts w:ascii="Aptos" w:hAnsi="Aptos"/>
          <w:b w:val="0"/>
          <w:i w:val="0"/>
          <w:color w:val="2D3740"/>
          <w:sz w:val="20"/>
        </w:rPr>
        <w:t>Parents do not need to document every conversation, but organized records can make meetings much easier. Keep a folder (paper or digital) with:</w:t>
      </w:r>
    </w:p>
    <w:p>
      <w:pPr>
        <w:pStyle w:val="ListBullet"/>
        <w:spacing w:after="40" w:line="252" w:lineRule="auto"/>
      </w:pPr>
      <w:r>
        <w:rPr>
          <w:rFonts w:ascii="Aptos" w:hAnsi="Aptos"/>
          <w:b w:val="0"/>
          <w:i w:val="0"/>
          <w:color w:val="2D3740"/>
          <w:sz w:val="20"/>
        </w:rPr>
        <w:t>Current and prior IEPs, NOREPs/PWNs, evaluation and reevaluation reports.</w:t>
      </w:r>
    </w:p>
    <w:p>
      <w:pPr>
        <w:pStyle w:val="ListBullet"/>
        <w:spacing w:after="40" w:line="252" w:lineRule="auto"/>
      </w:pPr>
      <w:r>
        <w:rPr>
          <w:rFonts w:ascii="Aptos" w:hAnsi="Aptos"/>
          <w:b w:val="0"/>
          <w:i w:val="0"/>
          <w:color w:val="2D3740"/>
          <w:sz w:val="20"/>
        </w:rPr>
        <w:t>Progress reports, report cards, benchmark or state assessment information.</w:t>
      </w:r>
    </w:p>
    <w:p>
      <w:pPr>
        <w:pStyle w:val="ListBullet"/>
        <w:spacing w:after="40" w:line="252" w:lineRule="auto"/>
      </w:pPr>
      <w:r>
        <w:rPr>
          <w:rFonts w:ascii="Aptos" w:hAnsi="Aptos"/>
          <w:b w:val="0"/>
          <w:i w:val="0"/>
          <w:color w:val="2D3740"/>
          <w:sz w:val="20"/>
        </w:rPr>
        <w:t>Emails and important school correspondence.</w:t>
      </w:r>
    </w:p>
    <w:p>
      <w:pPr>
        <w:pStyle w:val="ListBullet"/>
        <w:spacing w:after="40" w:line="252" w:lineRule="auto"/>
      </w:pPr>
      <w:r>
        <w:rPr>
          <w:rFonts w:ascii="Aptos" w:hAnsi="Aptos"/>
          <w:b w:val="0"/>
          <w:i w:val="0"/>
          <w:color w:val="2D3740"/>
          <w:sz w:val="20"/>
        </w:rPr>
        <w:t>Service logs or attendance information when relevant.</w:t>
      </w:r>
    </w:p>
    <w:p>
      <w:pPr>
        <w:pStyle w:val="ListBullet"/>
        <w:spacing w:after="40" w:line="252" w:lineRule="auto"/>
      </w:pPr>
      <w:r>
        <w:rPr>
          <w:rFonts w:ascii="Aptos" w:hAnsi="Aptos"/>
          <w:b w:val="0"/>
          <w:i w:val="0"/>
          <w:color w:val="2D3740"/>
          <w:sz w:val="20"/>
        </w:rPr>
        <w:t>Your written concerns, meeting notes, and follow-up emails.</w:t>
      </w:r>
    </w:p>
    <w:p>
      <w:pPr>
        <w:pStyle w:val="ListBullet"/>
        <w:spacing w:after="40" w:line="252" w:lineRule="auto"/>
      </w:pPr>
      <w:r>
        <w:rPr>
          <w:rFonts w:ascii="Aptos" w:hAnsi="Aptos"/>
          <w:b w:val="0"/>
          <w:i w:val="0"/>
          <w:color w:val="2D3740"/>
          <w:sz w:val="20"/>
        </w:rPr>
        <w:t>Private evaluations or provider reports you choose to share.</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F7F1E8"/>
            <w:tcMar>
              <w:top w:w="110" w:type="dxa"/>
              <w:start w:w="150" w:type="dxa"/>
              <w:bottom w:w="110" w:type="dxa"/>
              <w:end w:w="150" w:type="dxa"/>
            </w:tcMar>
            <w:tcBorders>
              <w:top w:val="single" w:sz="10" w:color="D8C4A3"/>
              <w:left w:val="single" w:sz="10" w:color="D8C4A3"/>
              <w:bottom w:val="single" w:sz="10" w:color="D8C4A3"/>
              <w:right w:val="single" w:sz="10" w:color="D8C4A3"/>
            </w:tcBorders>
          </w:tcPr>
          <w:p>
            <w:pPr>
              <w:spacing w:after="40"/>
            </w:pPr>
            <w:r>
              <w:rPr>
                <w:rFonts w:ascii="Aptos" w:hAnsi="Aptos"/>
                <w:b/>
                <w:i w:val="0"/>
                <w:color w:val="173F68"/>
                <w:sz w:val="20"/>
              </w:rPr>
              <w:t xml:space="preserve">Knot Alone tip: </w:t>
            </w:r>
            <w:r>
              <w:rPr>
                <w:rFonts w:ascii="Aptos" w:hAnsi="Aptos"/>
                <w:b w:val="0"/>
                <w:i w:val="0"/>
                <w:color w:val="2D3740"/>
                <w:sz w:val="20"/>
              </w:rPr>
              <w:t>After an important phone call or meeting, a short follow-up email summarizing what you understood was decided can help everyone stay on the same page.</w:t>
            </w:r>
          </w:p>
        </w:tc>
      </w:tr>
    </w:tbl>
    <w:p>
      <w:pPr>
        <w:spacing w:after="0"/>
      </w:pPr>
    </w:p>
    <w:p>
      <w:pPr>
        <w:spacing w:before="0" w:after="80"/>
        <w:pageBreakBefore/>
      </w:pPr>
      <w:r>
        <w:rPr>
          <w:rFonts w:ascii="Aptos Display" w:hAnsi="Aptos Display"/>
          <w:b/>
          <w:color w:val="173F68"/>
          <w:sz w:val="36"/>
        </w:rPr>
        <w:t>6. Discipline Protections</w:t>
      </w:r>
    </w:p>
    <w:p>
      <w:pPr>
        <w:spacing w:after="160"/>
      </w:pPr>
      <w:r>
        <w:rPr>
          <w:rFonts w:ascii="Aptos" w:hAnsi="Aptos"/>
          <w:b w:val="0"/>
          <w:i/>
          <w:color w:val="69A7A2"/>
          <w:sz w:val="21"/>
        </w:rPr>
        <w:t>Students with disabilities can be disciplined, but IDEA and Pennsylvania law add protections when removals become significant.</w:t>
      </w:r>
    </w:p>
    <w:tbl>
      <w:tblPr>
        <w:tblW w:type="auto" w:w="0"/>
        <w:tblLook w:firstColumn="1" w:firstRow="1" w:lastColumn="0" w:lastRow="0" w:noHBand="0" w:noVBand="1" w:val="04A0"/>
      </w:tblPr>
      <w:tblGrid>
        <w:gridCol w:w="10166"/>
      </w:tblGrid>
      <w:tr>
        <w:trPr>
          <w:trHeight w:val="43" w:hRule="exact"/>
          <w:cantSplit/>
          <w:tblHeader w:val="true"/>
        </w:trPr>
        <w:tc>
          <w:tcPr>
            <w:tcW w:type="dxa" w:w="9648"/>
            <w:shd w:fill="69A7A2"/>
          </w:tcPr>
          <w:p>
            <w:pPr>
              <w:spacing w:after="0"/>
            </w:pPr>
          </w:p>
        </w:tc>
      </w:tr>
    </w:tbl>
    <w:p>
      <w:pPr>
        <w:spacing w:after="0"/>
      </w:pPr>
    </w:p>
    <w:p>
      <w:pPr>
        <w:spacing w:before="120" w:after="60"/>
      </w:pPr>
      <w:r>
        <w:rPr>
          <w:rFonts w:ascii="Aptos" w:hAnsi="Aptos"/>
          <w:b/>
          <w:color w:val="69A7A2"/>
          <w:sz w:val="24"/>
        </w:rPr>
        <w:t>Services after removals</w:t>
      </w:r>
    </w:p>
    <w:p>
      <w:r>
        <w:rPr>
          <w:rFonts w:ascii="Aptos" w:hAnsi="Aptos"/>
          <w:b w:val="0"/>
          <w:i w:val="0"/>
          <w:color w:val="2D3740"/>
          <w:sz w:val="20"/>
        </w:rPr>
        <w:t>After a student has been removed from school for more than 10 school days in the same school year, educational services are generally required during additional removals so the student can continue to participate in the general curriculum and make progress toward IEP goals.</w:t>
      </w:r>
    </w:p>
    <w:p>
      <w:pPr>
        <w:spacing w:before="120" w:after="60"/>
      </w:pPr>
      <w:r>
        <w:rPr>
          <w:rFonts w:ascii="Aptos" w:hAnsi="Aptos"/>
          <w:b/>
          <w:color w:val="69A7A2"/>
          <w:sz w:val="24"/>
        </w:rPr>
        <w:t>When a removal becomes a change of placement</w:t>
      </w:r>
    </w:p>
    <w:p>
      <w:r>
        <w:rPr>
          <w:rFonts w:ascii="Aptos" w:hAnsi="Aptos"/>
          <w:b w:val="0"/>
          <w:i w:val="0"/>
          <w:color w:val="2D3740"/>
          <w:sz w:val="20"/>
        </w:rPr>
        <w:t>A disciplinary removal can become a change of placement based on its length or pattern. Pennsylvania provides additional protections, including when exclusions exceed 10 consecutive school days, total more than 15 school days in a school year, form a pattern of removals, or involve a student identified with an intellectual disability.</w:t>
      </w:r>
    </w:p>
    <w:p>
      <w:pPr>
        <w:spacing w:before="120" w:after="60"/>
      </w:pPr>
      <w:r>
        <w:rPr>
          <w:rFonts w:ascii="Aptos" w:hAnsi="Aptos"/>
          <w:b/>
          <w:color w:val="69A7A2"/>
          <w:sz w:val="24"/>
        </w:rPr>
        <w:t>Manifestation Determination Review (MDR)</w:t>
      </w:r>
    </w:p>
    <w:p>
      <w:r>
        <w:rPr>
          <w:rFonts w:ascii="Aptos" w:hAnsi="Aptos"/>
          <w:b w:val="0"/>
          <w:i w:val="0"/>
          <w:color w:val="2D3740"/>
          <w:sz w:val="20"/>
        </w:rPr>
        <w:t>Within 10 school days of a decision to make a disciplinary change of placement, the parent and relevant members of the IEP team must determine whether the behavior:</w:t>
      </w:r>
    </w:p>
    <w:p>
      <w:pPr>
        <w:pStyle w:val="ListBullet"/>
        <w:spacing w:after="40" w:line="252" w:lineRule="auto"/>
      </w:pPr>
      <w:r>
        <w:rPr>
          <w:rFonts w:ascii="Aptos" w:hAnsi="Aptos"/>
          <w:b w:val="0"/>
          <w:i w:val="0"/>
          <w:color w:val="2D3740"/>
          <w:sz w:val="20"/>
        </w:rPr>
        <w:t>Was caused by, or had a direct and substantial relationship to, the child's disability; or</w:t>
      </w:r>
    </w:p>
    <w:p>
      <w:pPr>
        <w:pStyle w:val="ListBullet"/>
        <w:spacing w:after="40" w:line="252" w:lineRule="auto"/>
      </w:pPr>
      <w:r>
        <w:rPr>
          <w:rFonts w:ascii="Aptos" w:hAnsi="Aptos"/>
          <w:b w:val="0"/>
          <w:i w:val="0"/>
          <w:color w:val="2D3740"/>
          <w:sz w:val="20"/>
        </w:rPr>
        <w:t>Was the direct result of the school's failure to implement the IEP.</w:t>
      </w:r>
    </w:p>
    <w:p>
      <w:r>
        <w:rPr>
          <w:rFonts w:ascii="Aptos" w:hAnsi="Aptos"/>
          <w:b w:val="0"/>
          <w:i w:val="0"/>
          <w:color w:val="2D3740"/>
          <w:sz w:val="20"/>
        </w:rPr>
        <w:t>If the behavior is a manifestation, the team generally addresses the behavior through a Functional Behavioral Assessment (FBA) and/or Behavior Intervention Plan (BIP) and returns the child to the prior placement unless an exception or agreement applies.</w:t>
      </w:r>
    </w:p>
    <w:p>
      <w:pPr>
        <w:spacing w:before="120" w:after="60"/>
      </w:pPr>
      <w:r>
        <w:rPr>
          <w:rFonts w:ascii="Aptos" w:hAnsi="Aptos"/>
          <w:b/>
          <w:color w:val="69A7A2"/>
          <w:sz w:val="24"/>
        </w:rPr>
        <w:t>Special circumstances</w:t>
      </w:r>
    </w:p>
    <w:p>
      <w:r>
        <w:rPr>
          <w:rFonts w:ascii="Aptos" w:hAnsi="Aptos"/>
          <w:b w:val="0"/>
          <w:i w:val="0"/>
          <w:color w:val="2D3740"/>
          <w:sz w:val="20"/>
        </w:rPr>
        <w:t>For weapons, illegal drugs/controlled substances, or serious bodily injury, school personnel may use an interim alternative educational setting for up to 45 school days even when the conduct is a manifestation, subject to IDEA requirements.</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F7F1E8"/>
            <w:tcMar>
              <w:top w:w="110" w:type="dxa"/>
              <w:start w:w="150" w:type="dxa"/>
              <w:bottom w:w="110" w:type="dxa"/>
              <w:end w:w="150" w:type="dxa"/>
            </w:tcMar>
            <w:tcBorders>
              <w:top w:val="single" w:sz="10" w:color="D8C4A3"/>
              <w:left w:val="single" w:sz="10" w:color="D8C4A3"/>
              <w:bottom w:val="single" w:sz="10" w:color="D8C4A3"/>
              <w:right w:val="single" w:sz="10" w:color="D8C4A3"/>
            </w:tcBorders>
          </w:tcPr>
          <w:p>
            <w:pPr>
              <w:spacing w:after="40"/>
            </w:pPr>
            <w:r>
              <w:rPr>
                <w:rFonts w:ascii="Aptos" w:hAnsi="Aptos"/>
                <w:b/>
                <w:i w:val="0"/>
                <w:color w:val="173F68"/>
                <w:sz w:val="20"/>
              </w:rPr>
              <w:t xml:space="preserve">Parent tip: </w:t>
            </w:r>
            <w:r>
              <w:rPr>
                <w:rFonts w:ascii="Aptos" w:hAnsi="Aptos"/>
                <w:b w:val="0"/>
                <w:i w:val="0"/>
                <w:color w:val="2D3740"/>
                <w:sz w:val="20"/>
              </w:rPr>
              <w:t>If suspensions are adding up, ask the school for a written list of removal dates and days. The total number of days can matter.</w:t>
            </w:r>
          </w:p>
        </w:tc>
      </w:tr>
    </w:tbl>
    <w:p>
      <w:pPr>
        <w:spacing w:after="0"/>
      </w:pPr>
    </w:p>
    <w:p>
      <w:pPr>
        <w:spacing w:before="0" w:after="80"/>
        <w:pageBreakBefore/>
      </w:pPr>
      <w:r>
        <w:rPr>
          <w:rFonts w:ascii="Aptos Display" w:hAnsi="Aptos Display"/>
          <w:b/>
          <w:color w:val="173F68"/>
          <w:sz w:val="36"/>
        </w:rPr>
        <w:t>7. When You Disagree With the School</w:t>
      </w:r>
    </w:p>
    <w:p>
      <w:pPr>
        <w:spacing w:after="160"/>
      </w:pPr>
      <w:r>
        <w:rPr>
          <w:rFonts w:ascii="Aptos" w:hAnsi="Aptos"/>
          <w:b w:val="0"/>
          <w:i/>
          <w:color w:val="69A7A2"/>
          <w:sz w:val="21"/>
        </w:rPr>
        <w:t>You have several ways to raise concerns. The best option depends on what happened and what outcome you need.</w:t>
      </w:r>
    </w:p>
    <w:tbl>
      <w:tblPr>
        <w:tblW w:type="auto" w:w="0"/>
        <w:tblLook w:firstColumn="1" w:firstRow="1" w:lastColumn="0" w:lastRow="0" w:noHBand="0" w:noVBand="1" w:val="04A0"/>
      </w:tblPr>
      <w:tblGrid>
        <w:gridCol w:w="10166"/>
      </w:tblGrid>
      <w:tr>
        <w:trPr>
          <w:trHeight w:val="43" w:hRule="exact"/>
          <w:cantSplit/>
          <w:tblHeader w:val="true"/>
        </w:trPr>
        <w:tc>
          <w:tcPr>
            <w:tcW w:type="dxa" w:w="9648"/>
            <w:shd w:fill="69A7A2"/>
          </w:tcPr>
          <w:p>
            <w:pPr>
              <w:spacing w:after="0"/>
            </w:pPr>
          </w:p>
        </w:tc>
      </w:tr>
    </w:tbl>
    <w:p>
      <w:pPr>
        <w:spacing w:after="0"/>
      </w:pPr>
    </w:p>
    <w:p>
      <w:pPr>
        <w:spacing w:before="120" w:after="60"/>
      </w:pPr>
      <w:r>
        <w:rPr>
          <w:rFonts w:ascii="Aptos" w:hAnsi="Aptos"/>
          <w:b/>
          <w:color w:val="69A7A2"/>
          <w:sz w:val="24"/>
        </w:rPr>
        <w:t>Start with the least formal option that fits the problem</w:t>
      </w:r>
    </w:p>
    <w:tbl>
      <w:tblPr>
        <w:tblW w:type="auto" w:w="0"/>
        <w:jc w:val="center"/>
        <w:tblLayout w:type="fixed"/>
        <w:tblLook w:firstColumn="1" w:firstRow="1" w:lastColumn="0" w:lastRow="0" w:noHBand="0" w:noVBand="1" w:val="04A0"/>
      </w:tblPr>
      <w:tblGrid>
        <w:gridCol w:w="5083"/>
        <w:gridCol w:w="5083"/>
      </w:tblGrid>
      <w:tr>
        <w:trPr>
          <w:cantSplit/>
          <w:tblHeader w:val="true"/>
        </w:trPr>
        <w:tc>
          <w:tcPr>
            <w:tcW w:type="dxa" w:w="2232"/>
            <w:shd w:fill="173F68"/>
            <w:tcMar>
              <w:top w:w="100" w:type="dxa"/>
              <w:start w:w="120" w:type="dxa"/>
              <w:bottom w:w="100" w:type="dxa"/>
              <w:end w:w="120" w:type="dxa"/>
            </w:tcMar>
          </w:tcPr>
          <w:p>
            <w:r>
              <w:rPr>
                <w:rFonts w:ascii="Aptos" w:hAnsi="Aptos"/>
                <w:b/>
                <w:i w:val="0"/>
                <w:color w:val="FFFFFF"/>
                <w:sz w:val="18"/>
              </w:rPr>
              <w:t>Option</w:t>
            </w:r>
          </w:p>
        </w:tc>
        <w:tc>
          <w:tcPr>
            <w:tcW w:type="dxa" w:w="7200"/>
            <w:shd w:fill="173F68"/>
            <w:tcMar>
              <w:top w:w="100" w:type="dxa"/>
              <w:start w:w="120" w:type="dxa"/>
              <w:bottom w:w="100" w:type="dxa"/>
              <w:end w:w="120" w:type="dxa"/>
            </w:tcMar>
          </w:tcPr>
          <w:p>
            <w:r>
              <w:rPr>
                <w:rFonts w:ascii="Aptos" w:hAnsi="Aptos"/>
                <w:b/>
                <w:i w:val="0"/>
                <w:color w:val="FFFFFF"/>
                <w:sz w:val="18"/>
              </w:rPr>
              <w:t>What it means</w:t>
            </w:r>
          </w:p>
        </w:tc>
      </w:tr>
      <w:tr>
        <w:trPr>
          <w:cantSplit/>
        </w:trPr>
        <w:tc>
          <w:tcPr>
            <w:tcW w:type="dxa" w:w="2232"/>
            <w:shd w:fill="EAF4F2"/>
            <w:tcMar>
              <w:top w:w="95" w:type="dxa"/>
              <w:start w:w="115" w:type="dxa"/>
              <w:bottom w:w="95" w:type="dxa"/>
              <w:end w:w="115" w:type="dxa"/>
            </w:tcMar>
            <w:tcBorders>
              <w:top w:val="single" w:sz="4" w:color="D7DFE3"/>
              <w:left w:val="single" w:sz="4" w:color="D7DFE3"/>
              <w:bottom w:val="single" w:sz="4" w:color="D7DFE3"/>
              <w:right w:val="single" w:sz="4" w:color="D7DFE3"/>
            </w:tcBorders>
          </w:tcPr>
          <w:p>
            <w:r>
              <w:rPr>
                <w:rFonts w:ascii="Aptos" w:hAnsi="Aptos"/>
                <w:b/>
                <w:i w:val="0"/>
                <w:color w:val="173F68"/>
                <w:sz w:val="18"/>
              </w:rPr>
              <w:t>IEP meeting / school discussion</w:t>
            </w:r>
          </w:p>
        </w:tc>
        <w:tc>
          <w:tcPr>
            <w:tcW w:type="dxa" w:w="7200"/>
            <w:shd w:fill="FFFFFF"/>
            <w:tcMar>
              <w:top w:w="95" w:type="dxa"/>
              <w:start w:w="115" w:type="dxa"/>
              <w:bottom w:w="95" w:type="dxa"/>
              <w:end w:w="115" w:type="dxa"/>
            </w:tcMar>
            <w:tcBorders>
              <w:top w:val="single" w:sz="4" w:color="D7DFE3"/>
              <w:left w:val="single" w:sz="4" w:color="D7DFE3"/>
              <w:bottom w:val="single" w:sz="4" w:color="D7DFE3"/>
              <w:right w:val="single" w:sz="4" w:color="D7DFE3"/>
            </w:tcBorders>
          </w:tcPr>
          <w:p>
            <w:r>
              <w:rPr>
                <w:rFonts w:ascii="Aptos" w:hAnsi="Aptos"/>
                <w:b w:val="0"/>
                <w:i w:val="0"/>
                <w:color w:val="2D3740"/>
                <w:sz w:val="17"/>
              </w:rPr>
              <w:t>Ask the team to reconvene, review data, and put proposed changes in writing.</w:t>
            </w:r>
          </w:p>
        </w:tc>
      </w:tr>
      <w:tr>
        <w:trPr>
          <w:cantSplit/>
        </w:trPr>
        <w:tc>
          <w:tcPr>
            <w:tcW w:type="dxa" w:w="2232"/>
            <w:shd w:fill="F7F1E8"/>
            <w:tcMar>
              <w:top w:w="95" w:type="dxa"/>
              <w:start w:w="115" w:type="dxa"/>
              <w:bottom w:w="95" w:type="dxa"/>
              <w:end w:w="115" w:type="dxa"/>
            </w:tcMar>
            <w:tcBorders>
              <w:top w:val="single" w:sz="4" w:color="D7DFE3"/>
              <w:left w:val="single" w:sz="4" w:color="D7DFE3"/>
              <w:bottom w:val="single" w:sz="4" w:color="D7DFE3"/>
              <w:right w:val="single" w:sz="4" w:color="D7DFE3"/>
            </w:tcBorders>
          </w:tcPr>
          <w:p>
            <w:r>
              <w:rPr>
                <w:rFonts w:ascii="Aptos" w:hAnsi="Aptos"/>
                <w:b/>
                <w:i w:val="0"/>
                <w:color w:val="173F68"/>
                <w:sz w:val="18"/>
              </w:rPr>
              <w:t>IEP Facilitation</w:t>
            </w:r>
          </w:p>
        </w:tc>
        <w:tc>
          <w:tcPr>
            <w:tcW w:type="dxa" w:w="7200"/>
            <w:shd w:fill="F4F6F7"/>
            <w:tcMar>
              <w:top w:w="95" w:type="dxa"/>
              <w:start w:w="115" w:type="dxa"/>
              <w:bottom w:w="95" w:type="dxa"/>
              <w:end w:w="115" w:type="dxa"/>
            </w:tcMar>
            <w:tcBorders>
              <w:top w:val="single" w:sz="4" w:color="D7DFE3"/>
              <w:left w:val="single" w:sz="4" w:color="D7DFE3"/>
              <w:bottom w:val="single" w:sz="4" w:color="D7DFE3"/>
              <w:right w:val="single" w:sz="4" w:color="D7DFE3"/>
            </w:tcBorders>
          </w:tcPr>
          <w:p>
            <w:r>
              <w:rPr>
                <w:rFonts w:ascii="Aptos" w:hAnsi="Aptos"/>
                <w:b w:val="0"/>
                <w:i w:val="0"/>
                <w:color w:val="2D3740"/>
                <w:sz w:val="17"/>
              </w:rPr>
              <w:t>A voluntary neutral facilitator helps the team communicate and work through difficult IEP issues.</w:t>
            </w:r>
          </w:p>
        </w:tc>
      </w:tr>
      <w:tr>
        <w:trPr>
          <w:cantSplit/>
        </w:trPr>
        <w:tc>
          <w:tcPr>
            <w:tcW w:type="dxa" w:w="2232"/>
            <w:shd w:fill="EAF4F2"/>
            <w:tcMar>
              <w:top w:w="95" w:type="dxa"/>
              <w:start w:w="115" w:type="dxa"/>
              <w:bottom w:w="95" w:type="dxa"/>
              <w:end w:w="115" w:type="dxa"/>
            </w:tcMar>
            <w:tcBorders>
              <w:top w:val="single" w:sz="4" w:color="D7DFE3"/>
              <w:left w:val="single" w:sz="4" w:color="D7DFE3"/>
              <w:bottom w:val="single" w:sz="4" w:color="D7DFE3"/>
              <w:right w:val="single" w:sz="4" w:color="D7DFE3"/>
            </w:tcBorders>
          </w:tcPr>
          <w:p>
            <w:r>
              <w:rPr>
                <w:rFonts w:ascii="Aptos" w:hAnsi="Aptos"/>
                <w:b/>
                <w:i w:val="0"/>
                <w:color w:val="173F68"/>
                <w:sz w:val="18"/>
              </w:rPr>
              <w:t>Mediation</w:t>
            </w:r>
          </w:p>
        </w:tc>
        <w:tc>
          <w:tcPr>
            <w:tcW w:type="dxa" w:w="7200"/>
            <w:shd w:fill="FFFFFF"/>
            <w:tcMar>
              <w:top w:w="95" w:type="dxa"/>
              <w:start w:w="115" w:type="dxa"/>
              <w:bottom w:w="95" w:type="dxa"/>
              <w:end w:w="115" w:type="dxa"/>
            </w:tcMar>
            <w:tcBorders>
              <w:top w:val="single" w:sz="4" w:color="D7DFE3"/>
              <w:left w:val="single" w:sz="4" w:color="D7DFE3"/>
              <w:bottom w:val="single" w:sz="4" w:color="D7DFE3"/>
              <w:right w:val="single" w:sz="4" w:color="D7DFE3"/>
            </w:tcBorders>
          </w:tcPr>
          <w:p>
            <w:r>
              <w:rPr>
                <w:rFonts w:ascii="Aptos" w:hAnsi="Aptos"/>
                <w:b w:val="0"/>
                <w:i w:val="0"/>
                <w:color w:val="2D3740"/>
                <w:sz w:val="17"/>
              </w:rPr>
              <w:t>Free, voluntary, and confidential. A neutral mediator helps the parent and school try to reach a legally binding agreement.</w:t>
            </w:r>
          </w:p>
        </w:tc>
      </w:tr>
      <w:tr>
        <w:trPr>
          <w:cantSplit/>
        </w:trPr>
        <w:tc>
          <w:tcPr>
            <w:tcW w:type="dxa" w:w="2232"/>
            <w:shd w:fill="F7F1E8"/>
            <w:tcMar>
              <w:top w:w="95" w:type="dxa"/>
              <w:start w:w="115" w:type="dxa"/>
              <w:bottom w:w="95" w:type="dxa"/>
              <w:end w:w="115" w:type="dxa"/>
            </w:tcMar>
            <w:tcBorders>
              <w:top w:val="single" w:sz="4" w:color="D7DFE3"/>
              <w:left w:val="single" w:sz="4" w:color="D7DFE3"/>
              <w:bottom w:val="single" w:sz="4" w:color="D7DFE3"/>
              <w:right w:val="single" w:sz="4" w:color="D7DFE3"/>
            </w:tcBorders>
          </w:tcPr>
          <w:p>
            <w:r>
              <w:rPr>
                <w:rFonts w:ascii="Aptos" w:hAnsi="Aptos"/>
                <w:b/>
                <w:i w:val="0"/>
                <w:color w:val="173F68"/>
                <w:sz w:val="18"/>
              </w:rPr>
              <w:t>State complaint</w:t>
            </w:r>
          </w:p>
        </w:tc>
        <w:tc>
          <w:tcPr>
            <w:tcW w:type="dxa" w:w="7200"/>
            <w:shd w:fill="F4F6F7"/>
            <w:tcMar>
              <w:top w:w="95" w:type="dxa"/>
              <w:start w:w="115" w:type="dxa"/>
              <w:bottom w:w="95" w:type="dxa"/>
              <w:end w:w="115" w:type="dxa"/>
            </w:tcMar>
            <w:tcBorders>
              <w:top w:val="single" w:sz="4" w:color="D7DFE3"/>
              <w:left w:val="single" w:sz="4" w:color="D7DFE3"/>
              <w:bottom w:val="single" w:sz="4" w:color="D7DFE3"/>
              <w:right w:val="single" w:sz="4" w:color="D7DFE3"/>
            </w:tcBorders>
          </w:tcPr>
          <w:p>
            <w:r>
              <w:rPr>
                <w:rFonts w:ascii="Aptos" w:hAnsi="Aptos"/>
                <w:b w:val="0"/>
                <w:i w:val="0"/>
                <w:color w:val="2D3740"/>
                <w:sz w:val="17"/>
              </w:rPr>
              <w:t>Used to allege that a school or public agency violated an IDEA requirement. In general, the alleged violation must have occurred within the prior year. Pennsylvania generally issues a written decision within 60 days.</w:t>
            </w:r>
          </w:p>
        </w:tc>
      </w:tr>
      <w:tr>
        <w:trPr>
          <w:cantSplit/>
        </w:trPr>
        <w:tc>
          <w:tcPr>
            <w:tcW w:type="dxa" w:w="2232"/>
            <w:shd w:fill="EAF4F2"/>
            <w:tcMar>
              <w:top w:w="95" w:type="dxa"/>
              <w:start w:w="115" w:type="dxa"/>
              <w:bottom w:w="95" w:type="dxa"/>
              <w:end w:w="115" w:type="dxa"/>
            </w:tcMar>
            <w:tcBorders>
              <w:top w:val="single" w:sz="4" w:color="D7DFE3"/>
              <w:left w:val="single" w:sz="4" w:color="D7DFE3"/>
              <w:bottom w:val="single" w:sz="4" w:color="D7DFE3"/>
              <w:right w:val="single" w:sz="4" w:color="D7DFE3"/>
            </w:tcBorders>
          </w:tcPr>
          <w:p>
            <w:r>
              <w:rPr>
                <w:rFonts w:ascii="Aptos" w:hAnsi="Aptos"/>
                <w:b/>
                <w:i w:val="0"/>
                <w:color w:val="173F68"/>
                <w:sz w:val="18"/>
              </w:rPr>
              <w:t>Due process</w:t>
            </w:r>
          </w:p>
        </w:tc>
        <w:tc>
          <w:tcPr>
            <w:tcW w:type="dxa" w:w="7200"/>
            <w:shd w:fill="FFFFFF"/>
            <w:tcMar>
              <w:top w:w="95" w:type="dxa"/>
              <w:start w:w="115" w:type="dxa"/>
              <w:bottom w:w="95" w:type="dxa"/>
              <w:end w:w="115" w:type="dxa"/>
            </w:tcMar>
            <w:tcBorders>
              <w:top w:val="single" w:sz="4" w:color="D7DFE3"/>
              <w:left w:val="single" w:sz="4" w:color="D7DFE3"/>
              <w:bottom w:val="single" w:sz="4" w:color="D7DFE3"/>
              <w:right w:val="single" w:sz="4" w:color="D7DFE3"/>
            </w:tcBorders>
          </w:tcPr>
          <w:p>
            <w:r>
              <w:rPr>
                <w:rFonts w:ascii="Aptos" w:hAnsi="Aptos"/>
                <w:b w:val="0"/>
                <w:i w:val="0"/>
                <w:color w:val="2D3740"/>
                <w:sz w:val="17"/>
              </w:rPr>
              <w:t>A formal legal proceeding for disputes involving identification, evaluation, placement, or FAPE. A hearing officer makes a decision. Due process complaints generally must be filed within 2 years of when the parent or agency knew or should have known of the issue, subject to exceptions.</w:t>
            </w:r>
          </w:p>
        </w:tc>
      </w:tr>
    </w:tbl>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FFF4EA"/>
            <w:tcMar>
              <w:top w:w="110" w:type="dxa"/>
              <w:start w:w="150" w:type="dxa"/>
              <w:bottom w:w="110" w:type="dxa"/>
              <w:end w:w="150" w:type="dxa"/>
            </w:tcMar>
            <w:tcBorders>
              <w:top w:val="single" w:sz="10" w:color="9E3A38"/>
              <w:left w:val="single" w:sz="10" w:color="9E3A38"/>
              <w:bottom w:val="single" w:sz="10" w:color="9E3A38"/>
              <w:right w:val="single" w:sz="10" w:color="9E3A38"/>
            </w:tcBorders>
          </w:tcPr>
          <w:p>
            <w:pPr>
              <w:spacing w:after="40"/>
            </w:pPr>
            <w:r>
              <w:rPr>
                <w:rFonts w:ascii="Aptos" w:hAnsi="Aptos"/>
                <w:b/>
                <w:i w:val="0"/>
                <w:color w:val="173F68"/>
                <w:sz w:val="20"/>
              </w:rPr>
              <w:t xml:space="preserve">Stay put / pendency: </w:t>
            </w:r>
            <w:r>
              <w:rPr>
                <w:rFonts w:ascii="Aptos" w:hAnsi="Aptos"/>
                <w:b w:val="0"/>
                <w:i w:val="0"/>
                <w:color w:val="2D3740"/>
                <w:sz w:val="20"/>
              </w:rPr>
              <w:t>During certain disputes, your child generally remains in the last agreed-upon educational placement unless you and the school agree otherwise. In Pennsylvania, requesting mediation within 10 calendar days of receiving a NOREP/PWN that recommends a change in placement can preserve pendency. Discipline rules have important exceptions.</w:t>
            </w:r>
          </w:p>
        </w:tc>
      </w:tr>
    </w:tbl>
    <w:p>
      <w:pPr>
        <w:spacing w:after="0"/>
      </w:pPr>
    </w:p>
    <w:p>
      <w:pPr>
        <w:spacing w:before="120" w:after="60"/>
      </w:pPr>
      <w:r>
        <w:rPr>
          <w:rFonts w:ascii="Aptos" w:hAnsi="Aptos"/>
          <w:b/>
          <w:color w:val="69A7A2"/>
          <w:sz w:val="24"/>
        </w:rPr>
        <w:t>If you file due process</w:t>
      </w:r>
    </w:p>
    <w:p>
      <w:pPr>
        <w:pStyle w:val="ListBullet"/>
        <w:spacing w:after="40" w:line="252" w:lineRule="auto"/>
      </w:pPr>
      <w:r>
        <w:rPr>
          <w:rFonts w:ascii="Aptos" w:hAnsi="Aptos"/>
          <w:b w:val="0"/>
          <w:i w:val="0"/>
          <w:color w:val="2D3740"/>
          <w:sz w:val="19"/>
        </w:rPr>
        <w:t>When a parent files, a resolution meeting generally must be held within 15 days unless both sides waive it in writing or agree to mediation.</w:t>
      </w:r>
    </w:p>
    <w:p>
      <w:pPr>
        <w:pStyle w:val="ListBullet"/>
        <w:spacing w:after="40" w:line="252" w:lineRule="auto"/>
      </w:pPr>
      <w:r>
        <w:rPr>
          <w:rFonts w:ascii="Aptos" w:hAnsi="Aptos"/>
          <w:b w:val="0"/>
          <w:i w:val="0"/>
          <w:color w:val="2D3740"/>
          <w:sz w:val="19"/>
        </w:rPr>
        <w:t>Due process has strict filing, disclosure, and hearing timelines. Consider contacting ConsultLine or an attorney for individualized guidance.</w:t>
      </w:r>
    </w:p>
    <w:p>
      <w:pPr>
        <w:spacing w:before="0" w:after="80"/>
        <w:pageBreakBefore/>
      </w:pPr>
      <w:r>
        <w:rPr>
          <w:rFonts w:ascii="Aptos Display" w:hAnsi="Aptos Display"/>
          <w:b/>
          <w:color w:val="173F68"/>
          <w:sz w:val="36"/>
        </w:rPr>
        <w:t>8. Special Situations Parents Often Ask About</w:t>
      </w:r>
    </w:p>
    <w:p>
      <w:pPr>
        <w:spacing w:after="160"/>
      </w:pPr>
      <w:r>
        <w:rPr>
          <w:rFonts w:ascii="Aptos" w:hAnsi="Aptos"/>
          <w:b w:val="0"/>
          <w:i/>
          <w:color w:val="69A7A2"/>
          <w:sz w:val="21"/>
        </w:rPr>
        <w:t>These issues can have extra rules, so act early and get individualized guidance when needed.</w:t>
      </w:r>
    </w:p>
    <w:tbl>
      <w:tblPr>
        <w:tblW w:type="auto" w:w="0"/>
        <w:tblLook w:firstColumn="1" w:firstRow="1" w:lastColumn="0" w:lastRow="0" w:noHBand="0" w:noVBand="1" w:val="04A0"/>
      </w:tblPr>
      <w:tblGrid>
        <w:gridCol w:w="10166"/>
      </w:tblGrid>
      <w:tr>
        <w:trPr>
          <w:trHeight w:val="43" w:hRule="exact"/>
          <w:cantSplit/>
          <w:tblHeader w:val="true"/>
        </w:trPr>
        <w:tc>
          <w:tcPr>
            <w:tcW w:type="dxa" w:w="9648"/>
            <w:shd w:fill="69A7A2"/>
          </w:tcPr>
          <w:p>
            <w:pPr>
              <w:spacing w:after="0"/>
            </w:pPr>
          </w:p>
        </w:tc>
      </w:tr>
    </w:tbl>
    <w:p>
      <w:pPr>
        <w:spacing w:after="0"/>
      </w:pPr>
    </w:p>
    <w:p>
      <w:pPr>
        <w:spacing w:before="120" w:after="60"/>
      </w:pPr>
      <w:r>
        <w:rPr>
          <w:rFonts w:ascii="Aptos" w:hAnsi="Aptos"/>
          <w:b/>
          <w:color w:val="69A7A2"/>
          <w:sz w:val="24"/>
        </w:rPr>
        <w:t>Extended School Year (ESY)</w:t>
      </w:r>
    </w:p>
    <w:p>
      <w:r>
        <w:rPr>
          <w:rFonts w:ascii="Aptos" w:hAnsi="Aptos"/>
          <w:b w:val="0"/>
          <w:i w:val="0"/>
          <w:color w:val="2D3740"/>
          <w:sz w:val="20"/>
        </w:rPr>
        <w:t>ESY is not simply summer school. It is special education and related services beyond the regular school year when the IEP team determines they are necessary for FAPE. Pennsylvania requires the IEP team to consider ESY for every student with a disability at each IEP meeting. Eligibility is individualized and may consider regression/recoupment and other factors.</w:t>
      </w:r>
    </w:p>
    <w:p>
      <w:pPr>
        <w:spacing w:before="120" w:after="60"/>
      </w:pPr>
      <w:r>
        <w:rPr>
          <w:rFonts w:ascii="Aptos" w:hAnsi="Aptos"/>
          <w:b/>
          <w:color w:val="69A7A2"/>
          <w:sz w:val="24"/>
        </w:rPr>
        <w:t>Assistive technology</w:t>
      </w:r>
    </w:p>
    <w:p>
      <w:r>
        <w:rPr>
          <w:rFonts w:ascii="Aptos" w:hAnsi="Aptos"/>
          <w:b w:val="0"/>
          <w:i w:val="0"/>
          <w:color w:val="2D3740"/>
          <w:sz w:val="20"/>
        </w:rPr>
        <w:t>If assistive technology is needed for your child to receive FAPE, the IEP team must address it. Necessary devices and services cannot be delayed while the school waits for another funding source.</w:t>
      </w:r>
    </w:p>
    <w:p>
      <w:pPr>
        <w:spacing w:before="120" w:after="60"/>
      </w:pPr>
      <w:r>
        <w:rPr>
          <w:rFonts w:ascii="Aptos" w:hAnsi="Aptos"/>
          <w:b/>
          <w:color w:val="69A7A2"/>
          <w:sz w:val="24"/>
        </w:rPr>
        <w:t>Transition planning</w:t>
      </w:r>
    </w:p>
    <w:p>
      <w:r>
        <w:rPr>
          <w:rFonts w:ascii="Aptos" w:hAnsi="Aptos"/>
          <w:b w:val="0"/>
          <w:i w:val="0"/>
          <w:color w:val="2D3740"/>
          <w:sz w:val="20"/>
        </w:rPr>
        <w:t>In Pennsylvania, transition planning begins by age 14, or earlier when appropriate. The IEP should connect the student's strengths, preferences, interests, and needs to measurable postsecondary goals and the services or courses of study needed to move toward those goals.</w:t>
      </w:r>
    </w:p>
    <w:p>
      <w:pPr>
        <w:spacing w:before="120" w:after="60"/>
      </w:pPr>
      <w:r>
        <w:rPr>
          <w:rFonts w:ascii="Aptos" w:hAnsi="Aptos"/>
          <w:b/>
          <w:color w:val="69A7A2"/>
          <w:sz w:val="24"/>
        </w:rPr>
        <w:t>Private school placement by parents</w:t>
      </w:r>
    </w:p>
    <w:p>
      <w:r>
        <w:rPr>
          <w:rFonts w:ascii="Aptos" w:hAnsi="Aptos"/>
          <w:b w:val="0"/>
          <w:i w:val="0"/>
          <w:color w:val="2D3740"/>
          <w:sz w:val="19"/>
        </w:rPr>
        <w:t>If you remove your child from public school and later seek reimbursement for a private placement, strict notice requirements can apply. Reimbursement may be reduced or denied if you do not tell the IEP team at the last meeting you attended before removal, or give written notice at least 10 business days before removal, that you reject the proposed placement and intend to place your child privately at public expense. Seek individualized guidance before making a unilateral placement.</w:t>
      </w:r>
    </w:p>
    <w:p>
      <w:pPr>
        <w:spacing w:before="120" w:after="60"/>
      </w:pPr>
      <w:r>
        <w:rPr>
          <w:rFonts w:ascii="Aptos" w:hAnsi="Aptos"/>
          <w:b/>
          <w:color w:val="69A7A2"/>
          <w:sz w:val="24"/>
        </w:rPr>
        <w:t>Recording meetings</w:t>
      </w:r>
    </w:p>
    <w:p>
      <w:r>
        <w:rPr>
          <w:rFonts w:ascii="Aptos" w:hAnsi="Aptos"/>
          <w:b w:val="0"/>
          <w:i w:val="0"/>
          <w:color w:val="2D3740"/>
          <w:sz w:val="19"/>
        </w:rPr>
        <w:t>IDEA does not create an automatic right to record an IEP meeting. Pennsylvania's recording laws and local school policies may also apply. Ask in writing before recording and obtain the needed consent. If recording is necessary for you to understand or participate meaningfully, you may ask the school to consider it as an accommodation.</w:t>
      </w:r>
    </w:p>
    <w:p>
      <w:pPr>
        <w:spacing w:before="120" w:after="60"/>
      </w:pPr>
      <w:r>
        <w:rPr>
          <w:rFonts w:ascii="Aptos" w:hAnsi="Aptos"/>
          <w:b/>
          <w:color w:val="69A7A2"/>
          <w:sz w:val="24"/>
        </w:rPr>
        <w:t>Section 504 is different</w:t>
      </w:r>
    </w:p>
    <w:p>
      <w:r>
        <w:rPr>
          <w:rFonts w:ascii="Aptos" w:hAnsi="Aptos"/>
          <w:b w:val="0"/>
          <w:i w:val="0"/>
          <w:color w:val="2D3740"/>
          <w:sz w:val="19"/>
        </w:rPr>
        <w:t>This guide focuses on IDEA special education and Pennsylvania Chapter 14/711 protections. Section 504 and Pennsylvania Chapter 15 have different eligibility rules and procedures. A child who does not qualify for an IEP may still have rights under Section 504.</w:t>
      </w:r>
    </w:p>
    <w:p>
      <w:pPr>
        <w:spacing w:before="0" w:after="80"/>
        <w:pageBreakBefore/>
      </w:pPr>
      <w:r>
        <w:rPr>
          <w:rFonts w:ascii="Aptos Display" w:hAnsi="Aptos Display"/>
          <w:b/>
          <w:color w:val="173F68"/>
          <w:sz w:val="36"/>
        </w:rPr>
        <w:t>9. Pennsylvania Parent Timeline Cheat Sheet</w:t>
      </w:r>
    </w:p>
    <w:p>
      <w:pPr>
        <w:spacing w:after="160"/>
      </w:pPr>
      <w:r>
        <w:rPr>
          <w:rFonts w:ascii="Aptos" w:hAnsi="Aptos"/>
          <w:b w:val="0"/>
          <w:i/>
          <w:color w:val="69A7A2"/>
          <w:sz w:val="21"/>
        </w:rPr>
        <w:t>Keep this page handy when dates start to feel confusing.</w:t>
      </w:r>
    </w:p>
    <w:tbl>
      <w:tblPr>
        <w:tblW w:type="auto" w:w="0"/>
        <w:tblLook w:firstColumn="1" w:firstRow="1" w:lastColumn="0" w:lastRow="0" w:noHBand="0" w:noVBand="1" w:val="04A0"/>
      </w:tblPr>
      <w:tblGrid>
        <w:gridCol w:w="10166"/>
      </w:tblGrid>
      <w:tr>
        <w:trPr>
          <w:trHeight w:val="43" w:hRule="exact"/>
          <w:cantSplit/>
          <w:tblHeader w:val="true"/>
        </w:trPr>
        <w:tc>
          <w:tcPr>
            <w:tcW w:type="dxa" w:w="9648"/>
            <w:shd w:fill="69A7A2"/>
          </w:tcPr>
          <w:p>
            <w:pPr>
              <w:spacing w:after="0"/>
            </w:pPr>
          </w:p>
        </w:tc>
      </w:tr>
    </w:tbl>
    <w:p>
      <w:pPr>
        <w:spacing w:after="0"/>
      </w:pPr>
    </w:p>
    <w:tbl>
      <w:tblPr>
        <w:tblW w:type="auto" w:w="0"/>
        <w:jc w:val="center"/>
        <w:tblLayout w:type="fixed"/>
        <w:tblLook w:firstColumn="1" w:firstRow="1" w:lastColumn="0" w:lastRow="0" w:noHBand="0" w:noVBand="1" w:val="04A0"/>
      </w:tblPr>
      <w:tblGrid>
        <w:gridCol w:w="3240"/>
        <w:gridCol w:w="6120"/>
      </w:tblGrid>
      <w:tr>
        <w:trPr>
          <w:cantSplit/>
          <w:tblHeader w:val="true"/>
        </w:trPr>
        <w:tc>
          <w:tcPr>
            <w:tcW w:type="dxa" w:w="5083"/>
            <w:shd w:fill="173F68"/>
            <w:tcMar>
              <w:top w:w="90" w:type="dxa"/>
              <w:start w:w="110" w:type="dxa"/>
              <w:bottom w:w="90" w:type="dxa"/>
              <w:end w:w="110" w:type="dxa"/>
            </w:tcMar>
          </w:tcPr>
          <w:p>
            <w:r>
              <w:rPr>
                <w:rFonts w:ascii="Aptos" w:hAnsi="Aptos"/>
                <w:b/>
                <w:i w:val="0"/>
                <w:color w:val="FFFFFF"/>
                <w:sz w:val="18"/>
              </w:rPr>
              <w:t>When / Issue</w:t>
            </w:r>
          </w:p>
        </w:tc>
        <w:tc>
          <w:tcPr>
            <w:tcW w:type="dxa" w:w="5083"/>
            <w:shd w:fill="173F68"/>
            <w:tcMar>
              <w:top w:w="90" w:type="dxa"/>
              <w:start w:w="110" w:type="dxa"/>
              <w:bottom w:w="90" w:type="dxa"/>
              <w:end w:w="110" w:type="dxa"/>
            </w:tcMar>
          </w:tcPr>
          <w:p>
            <w:r>
              <w:rPr>
                <w:rFonts w:ascii="Aptos" w:hAnsi="Aptos"/>
                <w:b/>
                <w:i w:val="0"/>
                <w:color w:val="FFFFFF"/>
                <w:sz w:val="18"/>
              </w:rPr>
              <w:t>General rule</w:t>
            </w:r>
          </w:p>
        </w:tc>
      </w:tr>
      <w:tr>
        <w:trPr>
          <w:cantSplit/>
        </w:trPr>
        <w:tc>
          <w:tcPr>
            <w:tcW w:type="dxa" w:w="3240"/>
            <w:shd w:fill="EAF4F2"/>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Oral parent request for evaluation</w:t>
            </w:r>
          </w:p>
        </w:tc>
        <w:tc>
          <w:tcPr>
            <w:tcW w:type="dxa" w:w="6120"/>
            <w:shd w:fill="FFFFFF"/>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School provides the evaluation request form within 10 calendar days.</w:t>
            </w:r>
          </w:p>
        </w:tc>
      </w:tr>
      <w:tr>
        <w:trPr>
          <w:cantSplit/>
        </w:trPr>
        <w:tc>
          <w:tcPr>
            <w:tcW w:type="dxa" w:w="3240"/>
            <w:shd w:fill="F7F1E8"/>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Initial evaluation after consent</w:t>
            </w:r>
          </w:p>
        </w:tc>
        <w:tc>
          <w:tcPr>
            <w:tcW w:type="dxa" w:w="6120"/>
            <w:shd w:fill="F4F6F7"/>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Generally completed within 60 calendar days; Pennsylvania excludes the summer-break period described in state rules.</w:t>
            </w:r>
          </w:p>
        </w:tc>
      </w:tr>
      <w:tr>
        <w:trPr>
          <w:cantSplit/>
        </w:trPr>
        <w:tc>
          <w:tcPr>
            <w:tcW w:type="dxa" w:w="3240"/>
            <w:shd w:fill="EAF4F2"/>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ER/RR before IEP meeting</w:t>
            </w:r>
          </w:p>
        </w:tc>
        <w:tc>
          <w:tcPr>
            <w:tcW w:type="dxa" w:w="6120"/>
            <w:shd w:fill="FFFFFF"/>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Parent generally receives the report at least 10 school days before the IEP meeting unless waived in writing.</w:t>
            </w:r>
          </w:p>
        </w:tc>
      </w:tr>
      <w:tr>
        <w:trPr>
          <w:cantSplit/>
        </w:trPr>
        <w:tc>
          <w:tcPr>
            <w:tcW w:type="dxa" w:w="3240"/>
            <w:shd w:fill="F7F1E8"/>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Initial IEP after eligibility</w:t>
            </w:r>
          </w:p>
        </w:tc>
        <w:tc>
          <w:tcPr>
            <w:tcW w:type="dxa" w:w="6120"/>
            <w:shd w:fill="F4F6F7"/>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IEP meeting within 30 calendar days of the eligibility determination.</w:t>
            </w:r>
          </w:p>
        </w:tc>
      </w:tr>
      <w:tr>
        <w:trPr>
          <w:cantSplit/>
        </w:trPr>
        <w:tc>
          <w:tcPr>
            <w:tcW w:type="dxa" w:w="3240"/>
            <w:shd w:fill="EAF4F2"/>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IEP implementation</w:t>
            </w:r>
          </w:p>
        </w:tc>
        <w:tc>
          <w:tcPr>
            <w:tcW w:type="dxa" w:w="6120"/>
            <w:shd w:fill="FFFFFF"/>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No later than 10 school days after completion in Pennsylvania.</w:t>
            </w:r>
          </w:p>
        </w:tc>
      </w:tr>
      <w:tr>
        <w:trPr>
          <w:cantSplit/>
        </w:trPr>
        <w:tc>
          <w:tcPr>
            <w:tcW w:type="dxa" w:w="3240"/>
            <w:shd w:fill="F7F1E8"/>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IEP review</w:t>
            </w:r>
          </w:p>
        </w:tc>
        <w:tc>
          <w:tcPr>
            <w:tcW w:type="dxa" w:w="6120"/>
            <w:shd w:fill="F4F6F7"/>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At least annually.</w:t>
            </w:r>
          </w:p>
        </w:tc>
      </w:tr>
      <w:tr>
        <w:trPr>
          <w:cantSplit/>
        </w:trPr>
        <w:tc>
          <w:tcPr>
            <w:tcW w:type="dxa" w:w="3240"/>
            <w:shd w:fill="EAF4F2"/>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Reevaluation</w:t>
            </w:r>
          </w:p>
        </w:tc>
        <w:tc>
          <w:tcPr>
            <w:tcW w:type="dxa" w:w="6120"/>
            <w:shd w:fill="FFFFFF"/>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Generally every 3 years; every 2 years for students with intellectual disability in Pennsylvania.</w:t>
            </w:r>
          </w:p>
        </w:tc>
      </w:tr>
      <w:tr>
        <w:trPr>
          <w:cantSplit/>
        </w:trPr>
        <w:tc>
          <w:tcPr>
            <w:tcW w:type="dxa" w:w="3240"/>
            <w:shd w:fill="F7F1E8"/>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Records request</w:t>
            </w:r>
          </w:p>
        </w:tc>
        <w:tc>
          <w:tcPr>
            <w:tcW w:type="dxa" w:w="6120"/>
            <w:shd w:fill="F4F6F7"/>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Without unnecessary delay and no more than 45 days; sooner when needed before certain meetings/hearings.</w:t>
            </w:r>
          </w:p>
        </w:tc>
      </w:tr>
      <w:tr>
        <w:trPr>
          <w:cantSplit/>
        </w:trPr>
        <w:tc>
          <w:tcPr>
            <w:tcW w:type="dxa" w:w="3240"/>
            <w:shd w:fill="EAF4F2"/>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Manifestation review</w:t>
            </w:r>
          </w:p>
        </w:tc>
        <w:tc>
          <w:tcPr>
            <w:tcW w:type="dxa" w:w="6120"/>
            <w:shd w:fill="FFFFFF"/>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Within 10 school days of a decision to make a disciplinary change of placement.</w:t>
            </w:r>
          </w:p>
        </w:tc>
      </w:tr>
      <w:tr>
        <w:trPr>
          <w:cantSplit/>
        </w:trPr>
        <w:tc>
          <w:tcPr>
            <w:tcW w:type="dxa" w:w="3240"/>
            <w:shd w:fill="F7F1E8"/>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State complaint</w:t>
            </w:r>
          </w:p>
        </w:tc>
        <w:tc>
          <w:tcPr>
            <w:tcW w:type="dxa" w:w="6120"/>
            <w:shd w:fill="F4F6F7"/>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Generally concerns a violation within the prior year; Pennsylvania generally resolves within 60 days.</w:t>
            </w:r>
          </w:p>
        </w:tc>
      </w:tr>
      <w:tr>
        <w:trPr>
          <w:cantSplit/>
        </w:trPr>
        <w:tc>
          <w:tcPr>
            <w:tcW w:type="dxa" w:w="3240"/>
            <w:shd w:fill="EAF4F2"/>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Due process complaint</w:t>
            </w:r>
          </w:p>
        </w:tc>
        <w:tc>
          <w:tcPr>
            <w:tcW w:type="dxa" w:w="6120"/>
            <w:shd w:fill="FFFFFF"/>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Generally within 2 years of when the parent or agency knew or should have known of the issue, subject to exceptions.</w:t>
            </w:r>
          </w:p>
        </w:tc>
      </w:tr>
      <w:tr>
        <w:trPr>
          <w:cantSplit/>
        </w:trPr>
        <w:tc>
          <w:tcPr>
            <w:tcW w:type="dxa" w:w="3240"/>
            <w:shd w:fill="F7F1E8"/>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Resolution meeting</w:t>
            </w:r>
          </w:p>
        </w:tc>
        <w:tc>
          <w:tcPr>
            <w:tcW w:type="dxa" w:w="6120"/>
            <w:shd w:fill="F4F6F7"/>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Generally within 15 days after a parent-filed due process complaint.</w:t>
            </w:r>
          </w:p>
        </w:tc>
      </w:tr>
      <w:tr>
        <w:trPr>
          <w:cantSplit/>
        </w:trPr>
        <w:tc>
          <w:tcPr>
            <w:tcW w:type="dxa" w:w="3240"/>
            <w:shd w:fill="EAF4F2"/>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i w:val="0"/>
                <w:color w:val="173F68"/>
                <w:sz w:val="17"/>
              </w:rPr>
              <w:t>Private placement notice</w:t>
            </w:r>
          </w:p>
        </w:tc>
        <w:tc>
          <w:tcPr>
            <w:tcW w:type="dxa" w:w="6120"/>
            <w:shd w:fill="FFFFFF"/>
            <w:tcMar>
              <w:top w:w="70" w:type="dxa"/>
              <w:start w:w="100" w:type="dxa"/>
              <w:bottom w:w="70" w:type="dxa"/>
              <w:end w:w="100" w:type="dxa"/>
            </w:tcMar>
            <w:tcBorders>
              <w:top w:val="single" w:sz="3" w:color="D9E0E3"/>
              <w:left w:val="single" w:sz="3" w:color="D9E0E3"/>
              <w:bottom w:val="single" w:sz="3" w:color="D9E0E3"/>
              <w:right w:val="single" w:sz="3" w:color="D9E0E3"/>
            </w:tcBorders>
          </w:tcPr>
          <w:p>
            <w:r>
              <w:rPr>
                <w:rFonts w:ascii="Aptos" w:hAnsi="Aptos"/>
                <w:b w:val="0"/>
                <w:i w:val="0"/>
                <w:color w:val="2D3740"/>
                <w:sz w:val="16"/>
              </w:rPr>
              <w:t>Generally at the last IEP meeting before removal or at least 10 business days before removal when reimbursement will be sought.</w:t>
            </w:r>
          </w:p>
        </w:tc>
      </w:tr>
    </w:tbl>
    <w:p>
      <w:pPr>
        <w:spacing w:after="80"/>
      </w:pPr>
      <w:r>
        <w:rPr>
          <w:rFonts w:ascii="Aptos" w:hAnsi="Aptos"/>
          <w:b w:val="0"/>
          <w:i/>
          <w:color w:val="68737D"/>
          <w:sz w:val="17"/>
        </w:rPr>
        <w:t>Timelines can have exceptions. If a deadline may affect your child's services or placement, use the full Procedural Safeguards Notice or contact ConsultLine rather than relying only on this summary.</w:t>
      </w:r>
    </w:p>
    <w:p>
      <w:pPr>
        <w:spacing w:before="0" w:after="80"/>
        <w:pageBreakBefore/>
      </w:pPr>
      <w:r>
        <w:rPr>
          <w:rFonts w:ascii="Aptos Display" w:hAnsi="Aptos Display"/>
          <w:b/>
          <w:color w:val="173F68"/>
          <w:sz w:val="36"/>
        </w:rPr>
        <w:t>10. Where Pennsylvania Parents Can Get Help</w:t>
      </w:r>
    </w:p>
    <w:p>
      <w:pPr>
        <w:spacing w:after="160"/>
      </w:pPr>
      <w:r>
        <w:rPr>
          <w:rFonts w:ascii="Aptos" w:hAnsi="Aptos"/>
          <w:b w:val="0"/>
          <w:i/>
          <w:color w:val="69A7A2"/>
          <w:sz w:val="21"/>
        </w:rPr>
        <w:t>You do not have to understand every rule before asking for help.</w:t>
      </w:r>
    </w:p>
    <w:tbl>
      <w:tblPr>
        <w:tblW w:type="auto" w:w="0"/>
        <w:tblLook w:firstColumn="1" w:firstRow="1" w:lastColumn="0" w:lastRow="0" w:noHBand="0" w:noVBand="1" w:val="04A0"/>
      </w:tblPr>
      <w:tblGrid>
        <w:gridCol w:w="10166"/>
      </w:tblGrid>
      <w:tr>
        <w:trPr>
          <w:trHeight w:val="43" w:hRule="exact"/>
          <w:cantSplit/>
          <w:tblHeader w:val="true"/>
        </w:trPr>
        <w:tc>
          <w:tcPr>
            <w:tcW w:type="dxa" w:w="9648"/>
            <w:shd w:fill="69A7A2"/>
          </w:tcPr>
          <w:p>
            <w:pPr>
              <w:spacing w:after="0"/>
            </w:pPr>
          </w:p>
        </w:tc>
      </w:tr>
    </w:tbl>
    <w:p>
      <w:pPr>
        <w:spacing w:after="0"/>
      </w:pPr>
    </w:p>
    <w:tbl>
      <w:tblPr>
        <w:tblW w:type="auto" w:w="0"/>
        <w:jc w:val="center"/>
        <w:tblLayout w:type="fixed"/>
        <w:tblLook w:firstColumn="1" w:firstRow="1" w:lastColumn="0" w:lastRow="0" w:noHBand="0" w:noVBand="1" w:val="04A0"/>
      </w:tblPr>
      <w:tblGrid>
        <w:gridCol w:w="5083"/>
        <w:gridCol w:w="5083"/>
      </w:tblGrid>
      <w:tr>
        <w:trPr>
          <w:cantSplit/>
          <w:tblHeader w:val="true"/>
        </w:trPr>
        <w:tc>
          <w:tcPr>
            <w:tcW w:type="dxa" w:w="4723"/>
            <w:shd w:fill="F7F1E8"/>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Special Education ConsultLine</w:t>
            </w:r>
          </w:p>
          <w:p>
            <w:pPr>
              <w:spacing w:after="0"/>
            </w:pPr>
            <w:r>
              <w:rPr>
                <w:rFonts w:ascii="Aptos" w:hAnsi="Aptos"/>
                <w:b w:val="0"/>
                <w:i w:val="0"/>
                <w:color w:val="2D3740"/>
                <w:sz w:val="18"/>
              </w:rPr>
              <w:t>Free information line for Pennsylvania families and advocates. Specialists can explain special education procedures and dispute-resolution options.</w:t>
              <w:br/>
              <w:br/>
              <w:t>1-800-879-2301</w:t>
              <w:br/>
              <w:t>consultline@odr-pa.org</w:t>
            </w:r>
          </w:p>
        </w:tc>
        <w:tc>
          <w:tcPr>
            <w:tcW w:type="dxa" w:w="4723"/>
            <w:shd w:fill="EAF4F2"/>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Office for Dispute Resolution (ODR)</w:t>
            </w:r>
          </w:p>
          <w:p>
            <w:pPr>
              <w:spacing w:after="0"/>
            </w:pPr>
            <w:r>
              <w:rPr>
                <w:rFonts w:ascii="Aptos" w:hAnsi="Aptos"/>
                <w:b w:val="0"/>
                <w:i w:val="0"/>
                <w:color w:val="2D3740"/>
                <w:sz w:val="18"/>
              </w:rPr>
              <w:t>Pennsylvania's resource for mediation, IEP facilitation, resolution meeting facilitation, and due process.</w:t>
              <w:br/>
              <w:br/>
              <w:t>1-800-222-3353</w:t>
            </w:r>
          </w:p>
        </w:tc>
      </w:tr>
      <w:tr>
        <w:trPr>
          <w:cantSplit/>
        </w:trPr>
        <w:tc>
          <w:tcPr>
            <w:tcW w:type="dxa" w:w="4723"/>
            <w:shd w:fill="F7F1E8"/>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PaTTAN</w:t>
            </w:r>
          </w:p>
          <w:p>
            <w:pPr>
              <w:spacing w:after="0"/>
            </w:pPr>
            <w:r>
              <w:rPr>
                <w:rFonts w:ascii="Aptos" w:hAnsi="Aptos"/>
                <w:b w:val="0"/>
                <w:i w:val="0"/>
                <w:color w:val="2D3740"/>
                <w:sz w:val="18"/>
              </w:rPr>
              <w:t>Pennsylvania Training and Technical Assistance Network. Parent resources, forms, guides, and the current Procedural Safeguards Notice.</w:t>
            </w:r>
          </w:p>
        </w:tc>
        <w:tc>
          <w:tcPr>
            <w:tcW w:type="dxa" w:w="4723"/>
            <w:shd w:fill="EAF4F2"/>
            <w:tcMar>
              <w:top w:w="130" w:type="dxa"/>
              <w:start w:w="150" w:type="dxa"/>
              <w:bottom w:w="130" w:type="dxa"/>
              <w:end w:w="150" w:type="dxa"/>
            </w:tcMar>
            <w:tcBorders>
              <w:top w:val="single" w:sz="6" w:color="D7DFE3"/>
              <w:left w:val="single" w:sz="6" w:color="D7DFE3"/>
              <w:bottom w:val="single" w:sz="6" w:color="D7DFE3"/>
              <w:right w:val="single" w:sz="6" w:color="D7DFE3"/>
            </w:tcBorders>
          </w:tcPr>
          <w:p>
            <w:pPr>
              <w:spacing w:after="60"/>
            </w:pPr>
            <w:r>
              <w:rPr>
                <w:rFonts w:ascii="Aptos" w:hAnsi="Aptos"/>
                <w:b/>
                <w:i w:val="0"/>
                <w:color w:val="173F68"/>
                <w:sz w:val="20"/>
              </w:rPr>
              <w:t>PA Department of Education - Bureau of Special Education</w:t>
            </w:r>
          </w:p>
          <w:p>
            <w:pPr>
              <w:spacing w:after="0"/>
            </w:pPr>
            <w:r>
              <w:rPr>
                <w:rFonts w:ascii="Aptos" w:hAnsi="Aptos"/>
                <w:b w:val="0"/>
                <w:i w:val="0"/>
                <w:color w:val="2D3740"/>
                <w:sz w:val="18"/>
              </w:rPr>
              <w:t>State-level information on regulations, policies, state complaints, ESY, discipline, and IDEA-B.</w:t>
            </w:r>
          </w:p>
        </w:tc>
      </w:tr>
    </w:tbl>
    <w:p>
      <w:pPr>
        <w:spacing w:after="0"/>
      </w:pPr>
    </w:p>
    <w:p>
      <w:pPr>
        <w:spacing w:before="120" w:after="60"/>
      </w:pPr>
      <w:r>
        <w:rPr>
          <w:rFonts w:ascii="Aptos" w:hAnsi="Aptos"/>
          <w:b/>
          <w:color w:val="69A7A2"/>
          <w:sz w:val="24"/>
        </w:rPr>
        <w:t>Official resources used for this guide</w:t>
      </w:r>
    </w:p>
    <w:p>
      <w:pPr>
        <w:pStyle w:val="ListBullet"/>
        <w:spacing w:after="60"/>
      </w:pPr>
      <w:hyperlink r:id="rId12">
        <w:r>
          <w:rPr>
            <w:color w:val="173F68"/>
            <w:u w:val="single"/>
          </w:rPr>
          <w:t>Pennsylvania Procedural Safeguards Notice - PaTTAN (effective March 1, 2026)</w:t>
        </w:r>
      </w:hyperlink>
    </w:p>
    <w:p>
      <w:pPr>
        <w:pStyle w:val="ListBullet"/>
        <w:spacing w:after="60"/>
      </w:pPr>
      <w:hyperlink r:id="rId13">
        <w:r>
          <w:rPr>
            <w:color w:val="173F68"/>
            <w:u w:val="single"/>
          </w:rPr>
          <w:t>Pennsylvania Special Education Regulations and Policies</w:t>
        </w:r>
      </w:hyperlink>
    </w:p>
    <w:p>
      <w:pPr>
        <w:pStyle w:val="ListBullet"/>
        <w:spacing w:after="60"/>
      </w:pPr>
      <w:hyperlink r:id="rId14">
        <w:r>
          <w:rPr>
            <w:color w:val="173F68"/>
            <w:u w:val="single"/>
          </w:rPr>
          <w:t>Pennsylvania Special Education Dispute Resolution</w:t>
        </w:r>
      </w:hyperlink>
    </w:p>
    <w:p>
      <w:pPr>
        <w:pStyle w:val="ListBullet"/>
        <w:spacing w:after="60"/>
      </w:pPr>
      <w:hyperlink r:id="rId15">
        <w:r>
          <w:rPr>
            <w:color w:val="173F68"/>
            <w:u w:val="single"/>
          </w:rPr>
          <w:t>Office for Dispute Resolution</w:t>
        </w:r>
      </w:hyperlink>
    </w:p>
    <w:p>
      <w:pPr>
        <w:pStyle w:val="ListBullet"/>
        <w:spacing w:after="60"/>
      </w:pPr>
      <w:hyperlink r:id="rId16">
        <w:r>
          <w:rPr>
            <w:color w:val="173F68"/>
            <w:u w:val="single"/>
          </w:rPr>
          <w:t>IDEA Regulations - U.S. Department of Education</w:t>
        </w:r>
      </w:hyperlink>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F7F1E8"/>
            <w:tcMar>
              <w:top w:w="110" w:type="dxa"/>
              <w:start w:w="150" w:type="dxa"/>
              <w:bottom w:w="110" w:type="dxa"/>
              <w:end w:w="150" w:type="dxa"/>
            </w:tcMar>
            <w:tcBorders>
              <w:top w:val="single" w:sz="10" w:color="D8C4A3"/>
              <w:left w:val="single" w:sz="10" w:color="D8C4A3"/>
              <w:bottom w:val="single" w:sz="10" w:color="D8C4A3"/>
              <w:right w:val="single" w:sz="10" w:color="D8C4A3"/>
            </w:tcBorders>
          </w:tcPr>
          <w:p>
            <w:pPr>
              <w:spacing w:after="40"/>
            </w:pPr>
            <w:r>
              <w:rPr>
                <w:rFonts w:ascii="Aptos" w:hAnsi="Aptos"/>
                <w:b/>
                <w:i w:val="0"/>
                <w:color w:val="173F68"/>
                <w:sz w:val="20"/>
              </w:rPr>
              <w:t xml:space="preserve">Please remember: </w:t>
            </w:r>
            <w:r>
              <w:rPr>
                <w:rFonts w:ascii="Aptos" w:hAnsi="Aptos"/>
                <w:b w:val="0"/>
                <w:i w:val="0"/>
                <w:color w:val="2D3740"/>
                <w:sz w:val="20"/>
              </w:rPr>
              <w:t>This guide is educational information, not legal advice. Special education disputes can turn on facts, dates, procedural history, and individual circumstances. Always review the current Procedural Safeguards Notice and seek individualized legal advice when needed.</w:t>
            </w:r>
          </w:p>
        </w:tc>
      </w:tr>
    </w:tbl>
    <w:p>
      <w:pPr>
        <w:spacing w:after="0"/>
      </w:pPr>
    </w:p>
    <w:p>
      <w:pPr>
        <w:spacing w:before="240"/>
        <w:jc w:val="center"/>
      </w:pPr>
      <w:r>
        <w:rPr>
          <w:rFonts w:ascii="Aptos" w:hAnsi="Aptos"/>
          <w:b/>
          <w:i w:val="0"/>
          <w:color w:val="173F68"/>
          <w:sz w:val="22"/>
        </w:rPr>
        <w:t>Knot Alone IEP Advocacy &amp; Coaching</w:t>
      </w:r>
    </w:p>
    <w:p>
      <w:pPr>
        <w:jc w:val="center"/>
      </w:pPr>
      <w:r>
        <w:rPr>
          <w:rFonts w:ascii="Aptos" w:hAnsi="Aptos"/>
          <w:b w:val="0"/>
          <w:i/>
          <w:color w:val="69A7A2"/>
          <w:sz w:val="21"/>
        </w:rPr>
        <w:t>Together, we untangle the path forward.</w:t>
      </w:r>
    </w:p>
    <w:sectPr w:rsidR="00FC693F" w:rsidRPr="0006063C" w:rsidSect="00034616">
      <w:headerReference w:type="default" r:id="rId9"/>
      <w:footerReference w:type="default" r:id="rId10"/>
      <w:pgSz w:w="12240" w:h="15840"/>
      <w:pgMar w:top="893" w:right="1037" w:bottom="835"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color w:val="68737D"/>
        <w:sz w:val="14"/>
      </w:rPr>
      <w:t>Educational information only - not legal advice. Always review the current Pennsylvania Procedural Safeguards Notice.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69A7A2"/>
        <w:sz w:val="15"/>
      </w:rPr>
      <w:t>KNOT ALONE IEP ADVOCACY &amp; COACHING  |  PARENT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D374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F68"/>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69A7A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F6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pattan.net/Forms/The-Procedural-Safeguards-Notice" TargetMode="External"/><Relationship Id="rId13" Type="http://schemas.openxmlformats.org/officeDocument/2006/relationships/hyperlink" Target="https://www.pa.gov/agencies/education/programs-and-services/instruction/elementary-and-secondary-education/special-education/regulations-and-policies" TargetMode="External"/><Relationship Id="rId14" Type="http://schemas.openxmlformats.org/officeDocument/2006/relationships/hyperlink" Target="https://www.pa.gov/agencies/education/programs-and-services/instruction/elementary-and-secondary-education/special-education/state-complaints-and-dispute-resolution" TargetMode="External"/><Relationship Id="rId15" Type="http://schemas.openxmlformats.org/officeDocument/2006/relationships/hyperlink" Target="https://odr-pa.org/" TargetMode="External"/><Relationship Id="rId16" Type="http://schemas.openxmlformats.org/officeDocument/2006/relationships/hyperlink" Target="https://sites.ed.gov/idea/regs/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Untangling Your Special Education Rights: A Parent-Friendly Guide</dc:title>
  <dc:subject>Pennsylvania special education parent rights</dc:subject>
  <dc:creator>Knot Alone IEP Advocacy &amp; Coaching</dc:creator>
  <cp:keywords>IEP, IDEA, Pennsylvania, special education, parent rights, procedural safeguards</cp:keywords>
  <dc:description>generated by python-docx</dc:description>
  <cp:lastModifiedBy/>
  <cp:revision>1</cp:revision>
  <dcterms:created xsi:type="dcterms:W3CDTF">2013-12-23T23:15:00Z</dcterms:created>
  <dcterms:modified xsi:type="dcterms:W3CDTF">2013-12-23T23:15:00Z</dcterms:modified>
  <cp:category/>
</cp:coreProperties>
</file>